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B6F" w:rsidRPr="001245B0" w:rsidRDefault="007C5B6F" w:rsidP="007C5B6F">
      <w:pPr>
        <w:jc w:val="center"/>
        <w:rPr>
          <w:b/>
          <w:sz w:val="28"/>
          <w:szCs w:val="28"/>
        </w:rPr>
      </w:pPr>
      <w:r w:rsidRPr="003D4D0F">
        <w:rPr>
          <w:b/>
          <w:sz w:val="28"/>
          <w:szCs w:val="28"/>
        </w:rPr>
        <w:t>HUBUNGAN  DUKUNGAN KELUARGA DENGAN KETAATAN POLA MAKAN PENDERITA DIABET</w:t>
      </w:r>
      <w:r>
        <w:rPr>
          <w:b/>
          <w:sz w:val="28"/>
          <w:szCs w:val="28"/>
        </w:rPr>
        <w:t xml:space="preserve">ES MELLITUS  DI WILAYAH KERJA </w:t>
      </w:r>
      <w:r w:rsidRPr="003D4D0F">
        <w:rPr>
          <w:b/>
          <w:sz w:val="28"/>
          <w:szCs w:val="28"/>
        </w:rPr>
        <w:t>PUSKESMAS SEI BESAR BANJARBARU</w:t>
      </w:r>
    </w:p>
    <w:p w:rsidR="007C5B6F" w:rsidRDefault="007C5B6F" w:rsidP="007C5B6F">
      <w:pPr>
        <w:tabs>
          <w:tab w:val="left" w:pos="900"/>
        </w:tabs>
        <w:autoSpaceDE w:val="0"/>
        <w:autoSpaceDN w:val="0"/>
        <w:adjustRightInd w:val="0"/>
        <w:jc w:val="both"/>
        <w:rPr>
          <w:sz w:val="24"/>
          <w:szCs w:val="24"/>
        </w:rPr>
      </w:pPr>
    </w:p>
    <w:p w:rsidR="007C5B6F" w:rsidRPr="001245B0" w:rsidRDefault="007C5B6F" w:rsidP="007C5B6F">
      <w:pPr>
        <w:jc w:val="center"/>
        <w:rPr>
          <w:b/>
          <w:sz w:val="24"/>
          <w:szCs w:val="24"/>
          <w:vertAlign w:val="superscript"/>
        </w:rPr>
      </w:pPr>
      <w:r w:rsidRPr="001245B0">
        <w:rPr>
          <w:b/>
          <w:sz w:val="24"/>
          <w:szCs w:val="24"/>
          <w:lang w:val="id-ID"/>
        </w:rPr>
        <w:t>Khairir Rizani</w:t>
      </w:r>
      <w:r w:rsidRPr="001245B0">
        <w:rPr>
          <w:b/>
          <w:sz w:val="24"/>
          <w:szCs w:val="24"/>
          <w:vertAlign w:val="superscript"/>
        </w:rPr>
        <w:t>1</w:t>
      </w:r>
      <w:r w:rsidRPr="001245B0">
        <w:rPr>
          <w:b/>
          <w:sz w:val="24"/>
          <w:szCs w:val="24"/>
          <w:lang w:val="id-ID"/>
        </w:rPr>
        <w:t xml:space="preserve">, </w:t>
      </w:r>
      <w:r w:rsidRPr="001245B0">
        <w:rPr>
          <w:b/>
          <w:sz w:val="24"/>
          <w:szCs w:val="24"/>
        </w:rPr>
        <w:t>Suroto</w:t>
      </w:r>
      <w:r w:rsidRPr="001245B0">
        <w:rPr>
          <w:b/>
          <w:sz w:val="24"/>
          <w:szCs w:val="24"/>
          <w:vertAlign w:val="superscript"/>
        </w:rPr>
        <w:t>2</w:t>
      </w:r>
      <w:r w:rsidRPr="001245B0">
        <w:rPr>
          <w:b/>
          <w:sz w:val="24"/>
          <w:szCs w:val="24"/>
          <w:lang w:val="id-ID"/>
        </w:rPr>
        <w:t xml:space="preserve">, </w:t>
      </w:r>
      <w:r w:rsidRPr="001245B0">
        <w:rPr>
          <w:b/>
          <w:sz w:val="24"/>
          <w:szCs w:val="24"/>
        </w:rPr>
        <w:t>Akhmad Rizani</w:t>
      </w:r>
      <w:r w:rsidRPr="001245B0">
        <w:rPr>
          <w:b/>
          <w:sz w:val="24"/>
          <w:szCs w:val="24"/>
          <w:vertAlign w:val="superscript"/>
        </w:rPr>
        <w:t>3</w:t>
      </w:r>
    </w:p>
    <w:p w:rsidR="007C5B6F" w:rsidRPr="001245B0" w:rsidRDefault="007C5B6F" w:rsidP="007C5B6F">
      <w:pPr>
        <w:tabs>
          <w:tab w:val="left" w:pos="900"/>
        </w:tabs>
        <w:autoSpaceDE w:val="0"/>
        <w:autoSpaceDN w:val="0"/>
        <w:adjustRightInd w:val="0"/>
        <w:rPr>
          <w:sz w:val="24"/>
          <w:szCs w:val="24"/>
        </w:rPr>
      </w:pPr>
    </w:p>
    <w:p w:rsidR="007C5B6F" w:rsidRPr="001245B0" w:rsidRDefault="007C5B6F" w:rsidP="007C5B6F">
      <w:pPr>
        <w:jc w:val="center"/>
        <w:rPr>
          <w:b/>
          <w:sz w:val="24"/>
          <w:szCs w:val="24"/>
        </w:rPr>
      </w:pPr>
      <w:r w:rsidRPr="001245B0">
        <w:rPr>
          <w:b/>
          <w:sz w:val="24"/>
          <w:szCs w:val="24"/>
        </w:rPr>
        <w:t>ABSTRAK</w:t>
      </w:r>
    </w:p>
    <w:p w:rsidR="007C5B6F" w:rsidRPr="001245B0" w:rsidRDefault="007C5B6F" w:rsidP="007C5B6F">
      <w:pPr>
        <w:ind w:firstLine="720"/>
        <w:jc w:val="both"/>
        <w:rPr>
          <w:sz w:val="24"/>
          <w:szCs w:val="24"/>
        </w:rPr>
      </w:pPr>
    </w:p>
    <w:p w:rsidR="007C5B6F" w:rsidRPr="001245B0" w:rsidRDefault="007C5B6F" w:rsidP="007C5B6F">
      <w:pPr>
        <w:ind w:firstLine="567"/>
        <w:jc w:val="both"/>
        <w:rPr>
          <w:sz w:val="24"/>
          <w:szCs w:val="24"/>
        </w:rPr>
      </w:pPr>
      <w:r w:rsidRPr="001245B0">
        <w:rPr>
          <w:sz w:val="24"/>
          <w:szCs w:val="24"/>
        </w:rPr>
        <w:t>Diabetes Melitus adalah kelainan metabolik yang ditandai dengan intoleren glukosa. Penyakit ini dapat dikelola dengan menyesuaikan perencanaan makanan , kegiatan jasmani dan pengobatan yang sesuai dengan konsensus pengelolaan diabetes di Indonesia dan perlunya diadakan pendekatan individual bagi edukasi diabetes, yang dikenal dengan Pentalogi Terapi DM meliputi:  Diet/pengaturan makan, latihan fisik, penyuluhan kesehatan masyarakat, obat hipoglikemi dan cangkok pangkreas. Diabetes mellitus merupakan salah satu penyakit degeratif kronik yang dapat dikendalikan dan keberhasilan pengobatan salah satunya adalah ketaatan dalam pola makan. Ketaatan penderita DM dalam pola makan perlu dukungan dari berbagai pihak, diantaranya adalah dukungan keluarga.</w:t>
      </w:r>
    </w:p>
    <w:p w:rsidR="007C5B6F" w:rsidRPr="001245B0" w:rsidRDefault="007C5B6F" w:rsidP="007C5B6F">
      <w:pPr>
        <w:pStyle w:val="ListParagraph"/>
        <w:spacing w:after="0" w:line="240" w:lineRule="auto"/>
        <w:ind w:left="0" w:firstLine="567"/>
        <w:jc w:val="both"/>
        <w:rPr>
          <w:rFonts w:ascii="Times New Roman" w:hAnsi="Times New Roman"/>
          <w:sz w:val="24"/>
          <w:szCs w:val="24"/>
        </w:rPr>
      </w:pPr>
      <w:r w:rsidRPr="001245B0">
        <w:rPr>
          <w:rFonts w:ascii="Times New Roman" w:hAnsi="Times New Roman"/>
          <w:sz w:val="24"/>
          <w:szCs w:val="24"/>
        </w:rPr>
        <w:t xml:space="preserve">Penelitian ini bertujuan mengetahui hubungan dukungan keluarga dengan ketaatan pola makan penderita DM. Jenis penelitian deskriptif analitik dengan pendekatan cross sectional . Sampel pada penelitian ini adalah penderita diabetes mellitus yang berada di wilayah kerja Puskesmas Sei Besar Banjarbaru. </w:t>
      </w:r>
      <w:r w:rsidRPr="001245B0">
        <w:rPr>
          <w:rFonts w:ascii="Times New Roman" w:hAnsi="Times New Roman"/>
          <w:sz w:val="24"/>
          <w:szCs w:val="24"/>
          <w:lang w:val="es-ES"/>
        </w:rPr>
        <w:t xml:space="preserve">Teknik sampling yang dipergunakan adalah </w:t>
      </w:r>
      <w:r w:rsidRPr="001245B0">
        <w:rPr>
          <w:rFonts w:ascii="Times New Roman" w:hAnsi="Times New Roman"/>
          <w:i/>
          <w:sz w:val="24"/>
          <w:szCs w:val="24"/>
          <w:lang w:val="es-ES"/>
        </w:rPr>
        <w:t>accidental sampling.</w:t>
      </w:r>
      <w:r w:rsidRPr="001245B0">
        <w:rPr>
          <w:rFonts w:ascii="Times New Roman" w:hAnsi="Times New Roman"/>
          <w:sz w:val="24"/>
          <w:szCs w:val="24"/>
        </w:rPr>
        <w:t>.  Analisis data dengan menggunakan spearman Rank dengan taraf signifikasi α = 0,05.</w:t>
      </w:r>
    </w:p>
    <w:p w:rsidR="007C5B6F" w:rsidRPr="001245B0" w:rsidRDefault="007C5B6F" w:rsidP="007C5B6F">
      <w:pPr>
        <w:pStyle w:val="ListParagraph"/>
        <w:spacing w:after="0" w:line="240" w:lineRule="auto"/>
        <w:ind w:left="0" w:firstLine="567"/>
        <w:jc w:val="both"/>
        <w:rPr>
          <w:rFonts w:ascii="Times New Roman" w:eastAsia="ArialNarrow" w:hAnsi="Times New Roman"/>
          <w:sz w:val="24"/>
          <w:szCs w:val="24"/>
        </w:rPr>
      </w:pPr>
      <w:r w:rsidRPr="001245B0">
        <w:rPr>
          <w:rFonts w:ascii="Times New Roman" w:hAnsi="Times New Roman"/>
          <w:sz w:val="24"/>
          <w:szCs w:val="24"/>
        </w:rPr>
        <w:t xml:space="preserve">Hasil penelitian menunjukkan bahwa nilai p = 0,003 &lt; α = 0,05, maka ho ditolak, jadi ada hubungan yang bermakna antara dukungan keluarga dengan ketaatan pola makan penderita DM di wilayah kerja Puskesmas Sei Besar Banjarbaru. Diharapkan bagi penderita </w:t>
      </w:r>
      <w:r w:rsidRPr="001245B0">
        <w:rPr>
          <w:rFonts w:ascii="Times New Roman" w:eastAsia="ArialNarrow" w:hAnsi="Times New Roman"/>
          <w:sz w:val="24"/>
          <w:szCs w:val="24"/>
        </w:rPr>
        <w:t>untuk senantiasa meningkatkan ketaatan dalam program pengobatan dan pengelolaan diit (pola makan) sehingga glukosa darah bisa terkontrol dan dapat dipertahankan dalam batas yang normal</w:t>
      </w:r>
    </w:p>
    <w:p w:rsidR="007C5B6F" w:rsidRPr="001245B0" w:rsidRDefault="007C5B6F" w:rsidP="007C5B6F">
      <w:pPr>
        <w:jc w:val="both"/>
        <w:rPr>
          <w:sz w:val="24"/>
          <w:szCs w:val="24"/>
        </w:rPr>
      </w:pPr>
      <w:r w:rsidRPr="001245B0">
        <w:rPr>
          <w:sz w:val="24"/>
          <w:szCs w:val="24"/>
        </w:rPr>
        <w:t xml:space="preserve">Kata Kunci : Dukungan Keluarga dan Ketaatan Pola Makan </w:t>
      </w:r>
    </w:p>
    <w:p w:rsidR="007C5B6F" w:rsidRDefault="007C5B6F" w:rsidP="007C5B6F">
      <w:pPr>
        <w:tabs>
          <w:tab w:val="left" w:pos="900"/>
        </w:tabs>
        <w:autoSpaceDE w:val="0"/>
        <w:autoSpaceDN w:val="0"/>
        <w:adjustRightInd w:val="0"/>
        <w:jc w:val="both"/>
        <w:rPr>
          <w:sz w:val="24"/>
          <w:szCs w:val="24"/>
        </w:rPr>
      </w:pPr>
    </w:p>
    <w:p w:rsidR="007C5B6F" w:rsidRDefault="007C5B6F" w:rsidP="007C5B6F">
      <w:pPr>
        <w:rPr>
          <w:b/>
          <w:sz w:val="24"/>
          <w:szCs w:val="24"/>
        </w:rPr>
        <w:sectPr w:rsidR="007C5B6F" w:rsidSect="007C5B6F">
          <w:headerReference w:type="default" r:id="rId7"/>
          <w:footerReference w:type="even" r:id="rId8"/>
          <w:footerReference w:type="default" r:id="rId9"/>
          <w:type w:val="continuous"/>
          <w:pgSz w:w="12240" w:h="15840"/>
          <w:pgMar w:top="1440" w:right="1440" w:bottom="1440" w:left="1440" w:header="708" w:footer="708" w:gutter="0"/>
          <w:cols w:space="720"/>
          <w:docGrid w:linePitch="360"/>
        </w:sectPr>
      </w:pPr>
    </w:p>
    <w:p w:rsidR="007C5B6F" w:rsidRPr="001245B0" w:rsidRDefault="007C5B6F" w:rsidP="007C5B6F">
      <w:pPr>
        <w:rPr>
          <w:b/>
          <w:sz w:val="24"/>
          <w:szCs w:val="24"/>
        </w:rPr>
      </w:pPr>
      <w:r w:rsidRPr="001245B0">
        <w:rPr>
          <w:b/>
          <w:sz w:val="24"/>
          <w:szCs w:val="24"/>
        </w:rPr>
        <w:lastRenderedPageBreak/>
        <w:t>PENDAHULUAN</w:t>
      </w:r>
    </w:p>
    <w:p w:rsidR="007C5B6F" w:rsidRPr="001245B0" w:rsidRDefault="007C5B6F" w:rsidP="007C5B6F">
      <w:pPr>
        <w:ind w:firstLine="567"/>
        <w:jc w:val="both"/>
        <w:rPr>
          <w:rFonts w:eastAsia="ArnoPro-Regular"/>
          <w:sz w:val="24"/>
          <w:szCs w:val="24"/>
        </w:rPr>
      </w:pPr>
      <w:r w:rsidRPr="001245B0">
        <w:rPr>
          <w:rFonts w:eastAsia="ArnoPro-Regular"/>
          <w:sz w:val="24"/>
          <w:szCs w:val="24"/>
        </w:rPr>
        <w:t xml:space="preserve">Diabetes Mellitus (DM) adalah </w:t>
      </w:r>
      <w:r w:rsidRPr="001245B0">
        <w:rPr>
          <w:sz w:val="24"/>
          <w:szCs w:val="24"/>
        </w:rPr>
        <w:t>kelainan metabolik yang ditandai dengan intoleren glukos /</w:t>
      </w:r>
      <w:r w:rsidRPr="001245B0">
        <w:rPr>
          <w:rFonts w:eastAsia="ArnoPro-Regular"/>
          <w:sz w:val="24"/>
          <w:szCs w:val="24"/>
        </w:rPr>
        <w:t xml:space="preserve"> kadar gula darah atau </w:t>
      </w:r>
      <w:r w:rsidRPr="001245B0">
        <w:rPr>
          <w:rFonts w:eastAsia="ArnoPro-Regular"/>
          <w:i/>
          <w:iCs/>
          <w:sz w:val="24"/>
          <w:szCs w:val="24"/>
        </w:rPr>
        <w:t xml:space="preserve">hiperglikemia. </w:t>
      </w:r>
      <w:r w:rsidRPr="001245B0">
        <w:rPr>
          <w:rFonts w:eastAsia="ArnoPro-Regular"/>
          <w:sz w:val="24"/>
          <w:szCs w:val="24"/>
        </w:rPr>
        <w:t xml:space="preserve">Penyakit DM dapat disebabkan oleh tidak adekuatnya produksi insulin karena penurunan fungsi pada sel - sel </w:t>
      </w:r>
      <w:r w:rsidRPr="001245B0">
        <w:rPr>
          <w:rFonts w:eastAsia="ArnoPro-Regular"/>
          <w:i/>
          <w:iCs/>
          <w:sz w:val="24"/>
          <w:szCs w:val="24"/>
        </w:rPr>
        <w:t xml:space="preserve">beta pankreas </w:t>
      </w:r>
      <w:r w:rsidRPr="001245B0">
        <w:rPr>
          <w:rFonts w:eastAsia="ArnoPro-Regular"/>
          <w:sz w:val="24"/>
          <w:szCs w:val="24"/>
        </w:rPr>
        <w:t xml:space="preserve">yang dikenal dengan DM tipe 1 atau tidak efektifnya kerja insulin di jaringan yang dikenal dengan DM 2. DM tipe 1 sering disebut </w:t>
      </w:r>
      <w:r w:rsidRPr="001245B0">
        <w:rPr>
          <w:i/>
          <w:iCs/>
          <w:sz w:val="24"/>
          <w:szCs w:val="24"/>
        </w:rPr>
        <w:t xml:space="preserve">Juvenile Diabetes </w:t>
      </w:r>
      <w:r w:rsidRPr="001245B0">
        <w:rPr>
          <w:rFonts w:eastAsia="ArnoPro-Regular"/>
          <w:sz w:val="24"/>
          <w:szCs w:val="24"/>
        </w:rPr>
        <w:t xml:space="preserve">atau </w:t>
      </w:r>
      <w:r w:rsidRPr="001245B0">
        <w:rPr>
          <w:i/>
          <w:iCs/>
          <w:sz w:val="24"/>
          <w:szCs w:val="24"/>
        </w:rPr>
        <w:t xml:space="preserve">Insulin Dependent Diabetes Mellitus </w:t>
      </w:r>
      <w:r w:rsidRPr="001245B0">
        <w:rPr>
          <w:rFonts w:eastAsia="ArnoPro-Regular"/>
          <w:sz w:val="24"/>
          <w:szCs w:val="24"/>
        </w:rPr>
        <w:t xml:space="preserve">(IDDM) dengan jumlah penderita 5 – 10% dari seluruh penderita </w:t>
      </w:r>
      <w:r w:rsidRPr="001245B0">
        <w:rPr>
          <w:i/>
          <w:iCs/>
          <w:sz w:val="24"/>
          <w:szCs w:val="24"/>
        </w:rPr>
        <w:t xml:space="preserve">DM </w:t>
      </w:r>
      <w:r w:rsidRPr="001245B0">
        <w:rPr>
          <w:rFonts w:eastAsia="ArnoPro-Regular"/>
          <w:sz w:val="24"/>
          <w:szCs w:val="24"/>
        </w:rPr>
        <w:t xml:space="preserve">dan biasanya terjadi pada anak-anak dan usia muda. </w:t>
      </w:r>
      <w:r w:rsidRPr="001245B0">
        <w:rPr>
          <w:i/>
          <w:iCs/>
          <w:sz w:val="24"/>
          <w:szCs w:val="24"/>
        </w:rPr>
        <w:t xml:space="preserve">DM tipe 2 </w:t>
      </w:r>
      <w:r w:rsidRPr="001245B0">
        <w:rPr>
          <w:rFonts w:eastAsia="ArnoPro-Regular"/>
          <w:sz w:val="24"/>
          <w:szCs w:val="24"/>
        </w:rPr>
        <w:t xml:space="preserve">disebut juga </w:t>
      </w:r>
      <w:r w:rsidRPr="001245B0">
        <w:rPr>
          <w:i/>
          <w:iCs/>
          <w:sz w:val="24"/>
          <w:szCs w:val="24"/>
        </w:rPr>
        <w:t xml:space="preserve">Adult Diabetes </w:t>
      </w:r>
      <w:r w:rsidRPr="001245B0">
        <w:rPr>
          <w:rFonts w:eastAsia="ArnoPro-Regular"/>
          <w:sz w:val="24"/>
          <w:szCs w:val="24"/>
        </w:rPr>
        <w:t xml:space="preserve">atau </w:t>
      </w:r>
      <w:r w:rsidRPr="001245B0">
        <w:rPr>
          <w:i/>
          <w:iCs/>
          <w:sz w:val="24"/>
          <w:szCs w:val="24"/>
        </w:rPr>
        <w:t xml:space="preserve">Non Insulin Dependent Diabetes Mellitus </w:t>
      </w:r>
      <w:r w:rsidRPr="001245B0">
        <w:rPr>
          <w:rFonts w:eastAsia="ArnoPro-Regular"/>
          <w:sz w:val="24"/>
          <w:szCs w:val="24"/>
        </w:rPr>
        <w:lastRenderedPageBreak/>
        <w:t>(NIDDM). Jumlah penderita ini mencapai 90 – 95 % dari seluruh penderita DM. (Sastroamidjojo dkk, 2000).</w:t>
      </w:r>
    </w:p>
    <w:p w:rsidR="007C5B6F" w:rsidRPr="001245B0" w:rsidRDefault="007C5B6F" w:rsidP="007C5B6F">
      <w:pPr>
        <w:ind w:firstLine="567"/>
        <w:jc w:val="both"/>
        <w:rPr>
          <w:sz w:val="24"/>
          <w:szCs w:val="24"/>
        </w:rPr>
      </w:pPr>
      <w:r w:rsidRPr="001245B0">
        <w:rPr>
          <w:sz w:val="24"/>
          <w:szCs w:val="24"/>
        </w:rPr>
        <w:t xml:space="preserve">Penyakit ini dapat dikelola dengan menyesuaikan perencanaan makanan , kegiatan jasmani dan pengobatan yang sesuai dengan konsensus pengelolaan diabetes di Indonesia dan perlunya diadakan pendekatan individual bagi edukasi diabetes, yang dikenal dengan Pentalogi Terapi DM meliputi:  Diet/pengaturan makan, latihan fisik, penyuluhan kesehatan masyarakat, obat hipoglikemi dan cangkok pangkreas  </w:t>
      </w:r>
    </w:p>
    <w:p w:rsidR="007C5B6F" w:rsidRPr="001245B0" w:rsidRDefault="007C5B6F" w:rsidP="007C5B6F">
      <w:pPr>
        <w:pStyle w:val="ListParagraph"/>
        <w:spacing w:after="0" w:line="240" w:lineRule="auto"/>
        <w:ind w:left="0" w:firstLine="567"/>
        <w:jc w:val="both"/>
        <w:rPr>
          <w:rFonts w:ascii="Times New Roman" w:hAnsi="Times New Roman"/>
          <w:sz w:val="24"/>
          <w:szCs w:val="24"/>
        </w:rPr>
      </w:pPr>
      <w:r w:rsidRPr="001245B0">
        <w:rPr>
          <w:rFonts w:ascii="Times New Roman" w:hAnsi="Times New Roman"/>
          <w:sz w:val="24"/>
          <w:szCs w:val="24"/>
        </w:rPr>
        <w:t xml:space="preserve">Kepatuhan berobat merupakan harapan dari setiap penderita DM. Berarti setiap penderita DM sanggup melaksanakan instruksi–instruksi ataupun anjuran </w:t>
      </w:r>
      <w:r w:rsidRPr="001245B0">
        <w:rPr>
          <w:rFonts w:ascii="Times New Roman" w:hAnsi="Times New Roman"/>
          <w:sz w:val="24"/>
          <w:szCs w:val="24"/>
        </w:rPr>
        <w:lastRenderedPageBreak/>
        <w:t>dokternya agar penyakit DM nya dapat dikontrol dengan baik</w:t>
      </w:r>
      <w:r>
        <w:rPr>
          <w:rFonts w:ascii="Times New Roman" w:hAnsi="Times New Roman"/>
          <w:sz w:val="24"/>
          <w:szCs w:val="24"/>
        </w:rPr>
        <w:t xml:space="preserve"> </w:t>
      </w:r>
      <w:r w:rsidRPr="001245B0">
        <w:rPr>
          <w:rFonts w:ascii="Times New Roman" w:hAnsi="Times New Roman"/>
          <w:sz w:val="24"/>
          <w:szCs w:val="24"/>
        </w:rPr>
        <w:t xml:space="preserve">(Haznam,1986). Pada umumnya penderita DM patuh berobat kepada dokter selama ia masih menderita gejala / yang subyektif dan mengganggu hidup rutinnya sehari-hari. Begitu ia bebas dari keluhan – keluhan tersebut maka kepatuhannya untuk berobat berkurang. Ketidakpatuhan ini sebagai masalah medis yang sangat berat, Taylor [ 1991]. La Greca &amp; Stone [ 1985] menyatakan bahwa mentaati rekomendasi pengobatan yang dianjurkan dokter merupakan masalah yang sangat penting . Tingkat ketidakpatuhan terbukti cukup tinggi dalam populasi medis yang kronis. </w:t>
      </w:r>
    </w:p>
    <w:p w:rsidR="007C5B6F" w:rsidRPr="001245B0" w:rsidRDefault="007C5B6F" w:rsidP="007C5B6F">
      <w:pPr>
        <w:pStyle w:val="ListParagraph"/>
        <w:spacing w:after="0" w:line="240" w:lineRule="auto"/>
        <w:ind w:left="0" w:firstLine="567"/>
        <w:jc w:val="both"/>
        <w:rPr>
          <w:rFonts w:ascii="Times New Roman" w:hAnsi="Times New Roman"/>
          <w:sz w:val="24"/>
          <w:szCs w:val="24"/>
        </w:rPr>
      </w:pPr>
      <w:r w:rsidRPr="001245B0">
        <w:rPr>
          <w:rFonts w:ascii="Times New Roman" w:eastAsia="ArialNarrow" w:hAnsi="Times New Roman"/>
          <w:sz w:val="24"/>
          <w:szCs w:val="24"/>
        </w:rPr>
        <w:t>Salah satu komponen yang cukup penting adalah penatalaksanaan diet, yang diarahkan untuk mempertahankan kadar glukosa darah agar tetap terkontrol dan dipertahankan mendekati normal, mencapai dan mempertahankan kadar lipid serum normal, memberi cukup energi untuk mempertahankan atau mencapai berat badan normal, menangani atau menghindari komplikasi akut pasien dan meningkatkan derajat kesehatan secara keseluruhan melalui giz</w:t>
      </w:r>
      <w:r>
        <w:rPr>
          <w:rFonts w:ascii="Times New Roman" w:eastAsia="ArialNarrow" w:hAnsi="Times New Roman"/>
          <w:sz w:val="24"/>
          <w:szCs w:val="24"/>
        </w:rPr>
        <w:t>i yang optimal</w:t>
      </w:r>
      <w:r w:rsidRPr="006D55C2">
        <w:rPr>
          <w:rFonts w:ascii="Times New Roman" w:eastAsia="ArialNarrow" w:hAnsi="Times New Roman"/>
          <w:sz w:val="24"/>
          <w:szCs w:val="24"/>
          <w:vertAlign w:val="superscript"/>
        </w:rPr>
        <w:t>1</w:t>
      </w:r>
      <w:r w:rsidRPr="001245B0">
        <w:rPr>
          <w:rFonts w:ascii="Times New Roman" w:eastAsia="ArialNarrow" w:hAnsi="Times New Roman"/>
          <w:sz w:val="24"/>
          <w:szCs w:val="24"/>
        </w:rPr>
        <w:t>.</w:t>
      </w:r>
      <w:r w:rsidRPr="001245B0">
        <w:rPr>
          <w:rFonts w:ascii="Times New Roman" w:eastAsia="ArialNarrow" w:hAnsi="Times New Roman"/>
          <w:sz w:val="24"/>
          <w:szCs w:val="24"/>
          <w:lang w:val="id-ID"/>
        </w:rPr>
        <w:t xml:space="preserve"> </w:t>
      </w:r>
    </w:p>
    <w:p w:rsidR="007C5B6F" w:rsidRPr="001245B0" w:rsidRDefault="007C5B6F" w:rsidP="007C5B6F">
      <w:pPr>
        <w:pStyle w:val="ListParagraph"/>
        <w:spacing w:after="0" w:line="240" w:lineRule="auto"/>
        <w:ind w:left="0" w:firstLine="567"/>
        <w:jc w:val="both"/>
        <w:rPr>
          <w:rFonts w:ascii="Times New Roman" w:hAnsi="Times New Roman"/>
          <w:sz w:val="24"/>
          <w:szCs w:val="24"/>
        </w:rPr>
      </w:pPr>
      <w:r w:rsidRPr="001245B0">
        <w:rPr>
          <w:rFonts w:ascii="Times New Roman" w:hAnsi="Times New Roman"/>
          <w:sz w:val="24"/>
          <w:szCs w:val="24"/>
          <w:lang w:val="id-ID"/>
        </w:rPr>
        <w:t>Arsana (2011) menyebutkan bahwa kontrol glikemik pasien sangat dipengaruhi oleh kepatuhan pasien terhadap anjuran diet meliputi, jenis dan jumlah makanan yang dikonsumsi dan ketidakpatuhan merupakan salah satu hambatan untuk tercapainya tujuan pengobatan dan juga akan mengakibatkan pasien memerlukan pemeriksaan atau pengobatan yang sebenarnya tidak diperlukan</w:t>
      </w:r>
      <w:r w:rsidRPr="006D55C2">
        <w:rPr>
          <w:rFonts w:ascii="Times New Roman" w:hAnsi="Times New Roman"/>
          <w:sz w:val="24"/>
          <w:szCs w:val="24"/>
          <w:vertAlign w:val="superscript"/>
        </w:rPr>
        <w:t>2</w:t>
      </w:r>
      <w:r w:rsidRPr="001245B0">
        <w:rPr>
          <w:rFonts w:ascii="Times New Roman" w:hAnsi="Times New Roman"/>
          <w:sz w:val="24"/>
          <w:szCs w:val="24"/>
          <w:lang w:val="id-ID"/>
        </w:rPr>
        <w:t xml:space="preserve">. </w:t>
      </w:r>
      <w:r w:rsidRPr="001245B0">
        <w:rPr>
          <w:rFonts w:ascii="Times New Roman" w:eastAsia="ArialNarrow,Italic" w:hAnsi="Times New Roman"/>
          <w:iCs/>
          <w:sz w:val="24"/>
          <w:szCs w:val="24"/>
          <w:lang w:val="id-ID"/>
        </w:rPr>
        <w:t>Hal ini memerlukan perhatian dan penanganan serius dari tenaga kesehatan termasuk perawat untuk menurunkan angka kejadian DM yang salah satunya adalah dengan patuh dalam melaksana</w:t>
      </w:r>
      <w:r>
        <w:rPr>
          <w:rFonts w:ascii="Times New Roman" w:eastAsia="ArialNarrow,Italic" w:hAnsi="Times New Roman"/>
          <w:iCs/>
          <w:sz w:val="24"/>
          <w:szCs w:val="24"/>
          <w:lang w:val="id-ID"/>
        </w:rPr>
        <w:t>kan program diet</w:t>
      </w:r>
      <w:r w:rsidRPr="006D55C2">
        <w:rPr>
          <w:rFonts w:ascii="Times New Roman" w:eastAsia="ArialNarrow,Italic" w:hAnsi="Times New Roman"/>
          <w:iCs/>
          <w:sz w:val="24"/>
          <w:szCs w:val="24"/>
          <w:vertAlign w:val="superscript"/>
        </w:rPr>
        <w:t>3</w:t>
      </w:r>
      <w:r w:rsidRPr="001245B0">
        <w:rPr>
          <w:rFonts w:ascii="Times New Roman" w:eastAsia="ArialNarrow,Italic" w:hAnsi="Times New Roman"/>
          <w:iCs/>
          <w:sz w:val="24"/>
          <w:szCs w:val="24"/>
          <w:lang w:val="id-ID"/>
        </w:rPr>
        <w:t>.</w:t>
      </w:r>
      <w:r w:rsidRPr="001245B0">
        <w:rPr>
          <w:rFonts w:ascii="Times New Roman" w:hAnsi="Times New Roman"/>
          <w:sz w:val="24"/>
          <w:szCs w:val="24"/>
          <w:lang w:val="id-ID"/>
        </w:rPr>
        <w:t xml:space="preserve"> </w:t>
      </w:r>
    </w:p>
    <w:p w:rsidR="007C5B6F" w:rsidRPr="001245B0" w:rsidRDefault="007C5B6F" w:rsidP="007C5B6F">
      <w:pPr>
        <w:autoSpaceDE w:val="0"/>
        <w:autoSpaceDN w:val="0"/>
        <w:adjustRightInd w:val="0"/>
        <w:ind w:firstLine="567"/>
        <w:jc w:val="both"/>
        <w:rPr>
          <w:sz w:val="24"/>
          <w:szCs w:val="24"/>
        </w:rPr>
      </w:pPr>
      <w:r w:rsidRPr="001245B0">
        <w:rPr>
          <w:rFonts w:eastAsia="ArnoPro-Regular"/>
          <w:sz w:val="24"/>
          <w:szCs w:val="24"/>
        </w:rPr>
        <w:t xml:space="preserve">Kepatuhan diit dalam perencanaan makan banyak dipengaruhi oleh beberapa faktor antara seperti pendidikan, akomodasi, </w:t>
      </w:r>
      <w:r w:rsidRPr="001245B0">
        <w:rPr>
          <w:rFonts w:eastAsia="ArnoPro-Regular"/>
          <w:sz w:val="24"/>
          <w:szCs w:val="24"/>
        </w:rPr>
        <w:lastRenderedPageBreak/>
        <w:t>perubahan model terapi, modifikasi faktor lingkungan dan sosial, serta meningkatkan interaksi profesional tenaga kesehatan dengan pasien. Modifikasi faktor lingkungan dapat dibangun melalui dukungan sosial dari keluarga. Dukungan ini dapat dibentuk untuk membantu kepatuhan pasien terhadap program pengobatan ya</w:t>
      </w:r>
      <w:r>
        <w:rPr>
          <w:rFonts w:eastAsia="ArnoPro-Regular"/>
          <w:sz w:val="24"/>
          <w:szCs w:val="24"/>
        </w:rPr>
        <w:t>ng akan dijalankan</w:t>
      </w:r>
      <w:r w:rsidRPr="006D55C2">
        <w:rPr>
          <w:rFonts w:eastAsia="ArnoPro-Regular"/>
          <w:sz w:val="24"/>
          <w:szCs w:val="24"/>
          <w:vertAlign w:val="superscript"/>
        </w:rPr>
        <w:t>4</w:t>
      </w:r>
      <w:r w:rsidRPr="001245B0">
        <w:rPr>
          <w:rFonts w:eastAsia="ArnoPro-Regular"/>
          <w:sz w:val="24"/>
          <w:szCs w:val="24"/>
        </w:rPr>
        <w:t>.</w:t>
      </w:r>
    </w:p>
    <w:p w:rsidR="007C5B6F" w:rsidRPr="001245B0" w:rsidRDefault="007C5B6F" w:rsidP="007C5B6F">
      <w:pPr>
        <w:pStyle w:val="ListParagraph"/>
        <w:spacing w:after="0" w:line="240" w:lineRule="auto"/>
        <w:ind w:left="0" w:firstLine="567"/>
        <w:jc w:val="both"/>
        <w:rPr>
          <w:rFonts w:ascii="Times New Roman" w:hAnsi="Times New Roman"/>
          <w:sz w:val="24"/>
          <w:szCs w:val="24"/>
        </w:rPr>
      </w:pPr>
      <w:r w:rsidRPr="001245B0">
        <w:rPr>
          <w:rFonts w:ascii="Times New Roman" w:hAnsi="Times New Roman"/>
          <w:sz w:val="24"/>
          <w:szCs w:val="24"/>
          <w:lang w:val="id-ID"/>
        </w:rPr>
        <w:t>Pasien diabetes menunjukkan kesulitan untuk mengatur sendiri perilaku diet mereka (Lin et al., 2008). P</w:t>
      </w:r>
      <w:r w:rsidRPr="001245B0">
        <w:rPr>
          <w:rFonts w:ascii="Times New Roman" w:hAnsi="Times New Roman"/>
          <w:sz w:val="24"/>
          <w:szCs w:val="24"/>
          <w:lang w:val="fi-FI"/>
        </w:rPr>
        <w:t>enyuluhan mengenai perencanaan makan (</w:t>
      </w:r>
      <w:r w:rsidRPr="001245B0">
        <w:rPr>
          <w:rFonts w:ascii="Times New Roman" w:hAnsi="Times New Roman"/>
          <w:i/>
          <w:sz w:val="24"/>
          <w:szCs w:val="24"/>
          <w:lang w:val="fi-FI"/>
        </w:rPr>
        <w:t>meal planning</w:t>
      </w:r>
      <w:r w:rsidRPr="001245B0">
        <w:rPr>
          <w:rFonts w:ascii="Times New Roman" w:hAnsi="Times New Roman"/>
          <w:sz w:val="24"/>
          <w:szCs w:val="24"/>
          <w:lang w:val="fi-FI"/>
        </w:rPr>
        <w:t>)</w:t>
      </w:r>
      <w:r w:rsidRPr="001245B0">
        <w:rPr>
          <w:rFonts w:ascii="Times New Roman" w:hAnsi="Times New Roman"/>
          <w:sz w:val="24"/>
          <w:szCs w:val="24"/>
          <w:lang w:val="id-ID"/>
        </w:rPr>
        <w:t xml:space="preserve"> telah diperoleh</w:t>
      </w:r>
      <w:r w:rsidRPr="001245B0">
        <w:rPr>
          <w:rFonts w:ascii="Times New Roman" w:hAnsi="Times New Roman"/>
          <w:sz w:val="24"/>
          <w:szCs w:val="24"/>
          <w:lang w:val="fi-FI"/>
        </w:rPr>
        <w:t>,</w:t>
      </w:r>
      <w:r w:rsidRPr="001245B0">
        <w:rPr>
          <w:rFonts w:ascii="Times New Roman" w:hAnsi="Times New Roman"/>
          <w:sz w:val="24"/>
          <w:szCs w:val="24"/>
          <w:lang w:val="id-ID"/>
        </w:rPr>
        <w:t xml:space="preserve"> namun</w:t>
      </w:r>
      <w:r w:rsidRPr="001245B0">
        <w:rPr>
          <w:rFonts w:ascii="Times New Roman" w:hAnsi="Times New Roman"/>
          <w:sz w:val="24"/>
          <w:szCs w:val="24"/>
          <w:lang w:val="fi-FI"/>
        </w:rPr>
        <w:t xml:space="preserve"> lebih dari</w:t>
      </w:r>
      <w:r w:rsidRPr="001245B0">
        <w:rPr>
          <w:rFonts w:ascii="Times New Roman" w:hAnsi="Times New Roman"/>
          <w:sz w:val="24"/>
          <w:szCs w:val="24"/>
          <w:lang w:val="id-ID"/>
        </w:rPr>
        <w:t xml:space="preserve"> </w:t>
      </w:r>
      <w:r w:rsidRPr="001245B0">
        <w:rPr>
          <w:rFonts w:ascii="Times New Roman" w:hAnsi="Times New Roman"/>
          <w:sz w:val="24"/>
          <w:szCs w:val="24"/>
          <w:lang w:val="fi-FI"/>
        </w:rPr>
        <w:t>50% pasien</w:t>
      </w:r>
      <w:r>
        <w:rPr>
          <w:rFonts w:ascii="Times New Roman" w:hAnsi="Times New Roman"/>
          <w:sz w:val="24"/>
          <w:szCs w:val="24"/>
          <w:lang w:val="fi-FI"/>
        </w:rPr>
        <w:t xml:space="preserve"> tidak melaksanakannya</w:t>
      </w:r>
      <w:r w:rsidRPr="006D55C2">
        <w:rPr>
          <w:rFonts w:ascii="Times New Roman" w:hAnsi="Times New Roman"/>
          <w:sz w:val="24"/>
          <w:szCs w:val="24"/>
          <w:vertAlign w:val="superscript"/>
          <w:lang w:val="fi-FI"/>
        </w:rPr>
        <w:t>5</w:t>
      </w:r>
      <w:r w:rsidRPr="001245B0">
        <w:rPr>
          <w:rFonts w:ascii="Times New Roman" w:hAnsi="Times New Roman"/>
          <w:sz w:val="24"/>
          <w:szCs w:val="24"/>
          <w:lang w:val="fi-FI"/>
        </w:rPr>
        <w:t xml:space="preserve">. </w:t>
      </w:r>
      <w:r w:rsidRPr="001245B0">
        <w:rPr>
          <w:rFonts w:ascii="Times New Roman" w:hAnsi="Times New Roman"/>
          <w:sz w:val="24"/>
          <w:szCs w:val="24"/>
        </w:rPr>
        <w:t xml:space="preserve">Materi penyuluhan ini meliputi pengaturan diet yang ditekankan pada 3 J : jenis, jadwal dan jumlah diet yang diberikan kepada pasien DM. Disamping itu materi penyuluhan difocuskan pada aktifitas fisik secara teratur dan penggunaan obat anti diabetik secara realistis. Ketiga hal ini merupakan kunci pokok keberhasilan program terapi DM. </w:t>
      </w:r>
    </w:p>
    <w:p w:rsidR="007C5B6F" w:rsidRPr="001245B0" w:rsidRDefault="007C5B6F" w:rsidP="007C5B6F">
      <w:pPr>
        <w:pStyle w:val="ListParagraph"/>
        <w:spacing w:after="0" w:line="240" w:lineRule="auto"/>
        <w:ind w:left="0" w:firstLine="567"/>
        <w:jc w:val="both"/>
        <w:rPr>
          <w:rFonts w:ascii="Times New Roman" w:hAnsi="Times New Roman"/>
          <w:sz w:val="24"/>
          <w:szCs w:val="24"/>
        </w:rPr>
      </w:pPr>
      <w:r w:rsidRPr="001245B0">
        <w:rPr>
          <w:rFonts w:ascii="Times New Roman" w:hAnsi="Times New Roman"/>
          <w:sz w:val="24"/>
          <w:szCs w:val="24"/>
        </w:rPr>
        <w:t>Untuk mendukung keberhasilan pengobatan penderita DM dalam hal ini ketaatan dalam pola makan, perlu adanya dukungan social salah satunya adalah dukungan dari keluarga penderita DM itu sendiri. Dari uraian diatas , maka perlu diadakan penelitian guna mengetahui hubungan faktor  dukungan keluarga dengan  ketaatan pola makan penderita DM.</w:t>
      </w:r>
    </w:p>
    <w:p w:rsidR="007C5B6F" w:rsidRPr="001245B0" w:rsidRDefault="007C5B6F" w:rsidP="007C5B6F">
      <w:pPr>
        <w:pStyle w:val="ListParagraph"/>
        <w:spacing w:after="0" w:line="240" w:lineRule="auto"/>
        <w:ind w:left="0" w:firstLine="567"/>
        <w:jc w:val="both"/>
        <w:rPr>
          <w:rFonts w:ascii="Times New Roman" w:hAnsi="Times New Roman"/>
          <w:sz w:val="24"/>
          <w:szCs w:val="24"/>
        </w:rPr>
      </w:pPr>
      <w:r w:rsidRPr="001245B0">
        <w:rPr>
          <w:rFonts w:ascii="Times New Roman" w:hAnsi="Times New Roman"/>
          <w:sz w:val="24"/>
          <w:szCs w:val="24"/>
        </w:rPr>
        <w:t>Tujuan penelitian ini untuk mengetahui hubungan dukungan keluarga dengan ketaatan pola makan penderita Diabetes Mellitus</w:t>
      </w:r>
      <w:r w:rsidRPr="001245B0">
        <w:rPr>
          <w:rFonts w:ascii="Times New Roman" w:hAnsi="Times New Roman"/>
          <w:sz w:val="24"/>
          <w:szCs w:val="24"/>
          <w:lang w:val="id-ID"/>
        </w:rPr>
        <w:t xml:space="preserve"> </w:t>
      </w:r>
      <w:r w:rsidRPr="001245B0">
        <w:rPr>
          <w:rFonts w:ascii="Times New Roman" w:hAnsi="Times New Roman"/>
          <w:sz w:val="24"/>
          <w:szCs w:val="24"/>
        </w:rPr>
        <w:t>di wilayah kerja Puskesmas Sei Besar Banjarbaru</w:t>
      </w:r>
      <w:r>
        <w:rPr>
          <w:rFonts w:ascii="Times New Roman" w:hAnsi="Times New Roman"/>
          <w:sz w:val="24"/>
          <w:szCs w:val="24"/>
        </w:rPr>
        <w:t>.</w:t>
      </w:r>
    </w:p>
    <w:p w:rsidR="007C5B6F" w:rsidRPr="001245B0" w:rsidRDefault="007C5B6F" w:rsidP="007C5B6F">
      <w:pPr>
        <w:pStyle w:val="ListParagraph"/>
        <w:spacing w:after="0" w:line="240" w:lineRule="auto"/>
        <w:ind w:left="0"/>
        <w:jc w:val="both"/>
        <w:rPr>
          <w:rFonts w:ascii="Times New Roman" w:hAnsi="Times New Roman"/>
          <w:sz w:val="24"/>
          <w:szCs w:val="24"/>
        </w:rPr>
      </w:pPr>
    </w:p>
    <w:p w:rsidR="007C5B6F" w:rsidRPr="001245B0" w:rsidRDefault="007C5B6F" w:rsidP="007C5B6F">
      <w:pPr>
        <w:rPr>
          <w:b/>
          <w:sz w:val="24"/>
          <w:szCs w:val="24"/>
          <w:lang w:val="id-ID"/>
        </w:rPr>
      </w:pPr>
      <w:r w:rsidRPr="001245B0">
        <w:rPr>
          <w:b/>
          <w:sz w:val="24"/>
          <w:szCs w:val="24"/>
          <w:lang w:val="id-ID"/>
        </w:rPr>
        <w:t>METODOLOGI</w:t>
      </w:r>
    </w:p>
    <w:p w:rsidR="007C5B6F" w:rsidRPr="001245B0" w:rsidRDefault="007C5B6F" w:rsidP="007C5B6F">
      <w:pPr>
        <w:pStyle w:val="ListParagraph"/>
        <w:spacing w:after="0" w:line="240" w:lineRule="auto"/>
        <w:ind w:left="0" w:firstLine="567"/>
        <w:jc w:val="both"/>
        <w:rPr>
          <w:rFonts w:ascii="Times New Roman" w:hAnsi="Times New Roman"/>
          <w:i/>
          <w:sz w:val="24"/>
          <w:szCs w:val="24"/>
          <w:lang w:val="es-ES"/>
        </w:rPr>
      </w:pPr>
      <w:r w:rsidRPr="001245B0">
        <w:rPr>
          <w:rFonts w:ascii="Times New Roman" w:hAnsi="Times New Roman"/>
          <w:sz w:val="24"/>
          <w:szCs w:val="24"/>
          <w:lang w:val="fi-FI"/>
        </w:rPr>
        <w:t xml:space="preserve">Penelitian ini merupakan penelitian </w:t>
      </w:r>
      <w:r w:rsidRPr="001245B0">
        <w:rPr>
          <w:rFonts w:ascii="Times New Roman" w:hAnsi="Times New Roman"/>
          <w:i/>
          <w:sz w:val="24"/>
          <w:szCs w:val="24"/>
          <w:lang w:val="fi-FI"/>
        </w:rPr>
        <w:t>cross sectional</w:t>
      </w:r>
      <w:r w:rsidRPr="001245B0">
        <w:rPr>
          <w:rFonts w:ascii="Times New Roman" w:hAnsi="Times New Roman"/>
          <w:sz w:val="24"/>
          <w:szCs w:val="24"/>
          <w:lang w:val="fi-FI"/>
        </w:rPr>
        <w:t xml:space="preserve"> dengan desain </w:t>
      </w:r>
      <w:r w:rsidRPr="001245B0">
        <w:rPr>
          <w:rFonts w:ascii="Times New Roman" w:hAnsi="Times New Roman"/>
          <w:i/>
          <w:sz w:val="24"/>
          <w:szCs w:val="24"/>
          <w:lang w:val="fi-FI"/>
        </w:rPr>
        <w:t xml:space="preserve">corelational, </w:t>
      </w:r>
      <w:r w:rsidRPr="001245B0">
        <w:rPr>
          <w:rFonts w:ascii="Times New Roman" w:hAnsi="Times New Roman"/>
          <w:sz w:val="24"/>
          <w:szCs w:val="24"/>
        </w:rPr>
        <w:t xml:space="preserve">Populasi dan sampel dalam penelitian ini adalah penderita diabetes mellitus yang berada di wilayah kerja Puskesmas Sei Besar Banjarbaru. </w:t>
      </w:r>
      <w:r w:rsidRPr="001245B0">
        <w:rPr>
          <w:rFonts w:ascii="Times New Roman" w:hAnsi="Times New Roman"/>
          <w:sz w:val="24"/>
          <w:szCs w:val="24"/>
          <w:lang w:val="es-ES"/>
        </w:rPr>
        <w:t xml:space="preserve">Teknik sampling yang dipergunakan adalah </w:t>
      </w:r>
      <w:r w:rsidRPr="001245B0">
        <w:rPr>
          <w:rFonts w:ascii="Times New Roman" w:hAnsi="Times New Roman"/>
          <w:i/>
          <w:sz w:val="24"/>
          <w:szCs w:val="24"/>
          <w:lang w:val="es-ES"/>
        </w:rPr>
        <w:t xml:space="preserve">accidental sampling </w:t>
      </w:r>
    </w:p>
    <w:p w:rsidR="007C5B6F" w:rsidRPr="001245B0" w:rsidRDefault="007C5B6F" w:rsidP="007C5B6F">
      <w:pPr>
        <w:pStyle w:val="ListParagraph"/>
        <w:spacing w:after="0" w:line="240" w:lineRule="auto"/>
        <w:ind w:left="0" w:firstLine="567"/>
        <w:jc w:val="both"/>
        <w:rPr>
          <w:rFonts w:ascii="Times New Roman" w:hAnsi="Times New Roman"/>
          <w:sz w:val="24"/>
          <w:szCs w:val="24"/>
        </w:rPr>
      </w:pPr>
      <w:r w:rsidRPr="001245B0">
        <w:rPr>
          <w:rFonts w:ascii="Times New Roman" w:hAnsi="Times New Roman"/>
          <w:sz w:val="24"/>
          <w:szCs w:val="24"/>
          <w:lang w:val="id-ID"/>
        </w:rPr>
        <w:lastRenderedPageBreak/>
        <w:t xml:space="preserve">Instrumen penelitian dengan menggunakan daftar pertanyaan tertutup yang menggali data </w:t>
      </w:r>
      <w:r w:rsidRPr="001245B0">
        <w:rPr>
          <w:rFonts w:ascii="Times New Roman" w:hAnsi="Times New Roman"/>
          <w:sz w:val="24"/>
          <w:szCs w:val="24"/>
        </w:rPr>
        <w:t>tentang dukungan keluarga dan kepatuhan pola makan penderita Diabetes Melitus</w:t>
      </w:r>
      <w:r w:rsidRPr="001245B0">
        <w:rPr>
          <w:rFonts w:ascii="Times New Roman" w:hAnsi="Times New Roman"/>
          <w:sz w:val="24"/>
          <w:szCs w:val="24"/>
          <w:lang w:val="id-ID"/>
        </w:rPr>
        <w:t xml:space="preserve">i. Cara pengisian jawaban dalam daftar pertanyaan tersebut yaitu dengan cara memberikan </w:t>
      </w:r>
      <w:r w:rsidRPr="001245B0">
        <w:rPr>
          <w:rFonts w:ascii="Times New Roman" w:hAnsi="Times New Roman"/>
          <w:i/>
          <w:sz w:val="24"/>
          <w:szCs w:val="24"/>
          <w:lang w:val="id-ID"/>
        </w:rPr>
        <w:t>cek list</w:t>
      </w:r>
      <w:r w:rsidRPr="001245B0">
        <w:rPr>
          <w:rFonts w:ascii="Times New Roman" w:hAnsi="Times New Roman"/>
          <w:sz w:val="24"/>
          <w:szCs w:val="24"/>
          <w:lang w:val="id-ID"/>
        </w:rPr>
        <w:t xml:space="preserve"> pada pilihan jawaban yang tersedia</w:t>
      </w:r>
      <w:r w:rsidRPr="001245B0">
        <w:rPr>
          <w:rFonts w:ascii="Times New Roman" w:hAnsi="Times New Roman"/>
          <w:sz w:val="24"/>
          <w:szCs w:val="24"/>
        </w:rPr>
        <w:t>.</w:t>
      </w:r>
    </w:p>
    <w:p w:rsidR="007C5B6F" w:rsidRPr="001245B0" w:rsidRDefault="007C5B6F" w:rsidP="007C5B6F">
      <w:pPr>
        <w:pStyle w:val="ListParagraph"/>
        <w:spacing w:after="0" w:line="240" w:lineRule="auto"/>
        <w:ind w:left="0" w:firstLine="567"/>
        <w:jc w:val="both"/>
        <w:rPr>
          <w:rFonts w:ascii="Times New Roman" w:hAnsi="Times New Roman"/>
          <w:sz w:val="24"/>
          <w:szCs w:val="24"/>
          <w:lang w:val="fi-FI"/>
        </w:rPr>
      </w:pPr>
      <w:r w:rsidRPr="001245B0">
        <w:rPr>
          <w:rFonts w:ascii="Times New Roman" w:hAnsi="Times New Roman"/>
          <w:sz w:val="24"/>
          <w:szCs w:val="24"/>
          <w:lang w:val="id-ID"/>
        </w:rPr>
        <w:t>Analisis data m</w:t>
      </w:r>
      <w:r w:rsidRPr="001245B0">
        <w:rPr>
          <w:rFonts w:ascii="Times New Roman" w:hAnsi="Times New Roman"/>
          <w:sz w:val="24"/>
          <w:szCs w:val="24"/>
          <w:lang w:val="sv-SE"/>
        </w:rPr>
        <w:t xml:space="preserve">enggunakan uji </w:t>
      </w:r>
      <w:r w:rsidRPr="001245B0">
        <w:rPr>
          <w:rFonts w:ascii="Times New Roman" w:hAnsi="Times New Roman"/>
          <w:i/>
          <w:sz w:val="24"/>
          <w:szCs w:val="24"/>
          <w:lang w:val="sv-SE"/>
        </w:rPr>
        <w:t>Spearman Rank</w:t>
      </w:r>
      <w:r w:rsidRPr="001245B0">
        <w:rPr>
          <w:rFonts w:ascii="Times New Roman" w:hAnsi="Times New Roman"/>
          <w:sz w:val="24"/>
          <w:szCs w:val="24"/>
          <w:lang w:val="sv-SE"/>
        </w:rPr>
        <w:t xml:space="preserve"> dengan bantuan program Komputer, untuk mengetahui hubungan dukungan keluarga dengan ketaatan pola makan penderita Diabetes Melitus . </w:t>
      </w:r>
      <w:r w:rsidRPr="001245B0">
        <w:rPr>
          <w:rFonts w:ascii="Times New Roman" w:hAnsi="Times New Roman"/>
          <w:sz w:val="24"/>
          <w:szCs w:val="24"/>
          <w:lang w:val="fi-FI"/>
        </w:rPr>
        <w:t>Taraf signifikansi hasil uji adalah .α = 0,05</w:t>
      </w:r>
      <w:r>
        <w:rPr>
          <w:rFonts w:ascii="Times New Roman" w:hAnsi="Times New Roman"/>
          <w:sz w:val="24"/>
          <w:szCs w:val="24"/>
          <w:lang w:val="fi-FI"/>
        </w:rPr>
        <w:t>.</w:t>
      </w:r>
    </w:p>
    <w:p w:rsidR="007C5B6F" w:rsidRPr="001245B0" w:rsidRDefault="007C5B6F" w:rsidP="007C5B6F">
      <w:pPr>
        <w:pStyle w:val="ListParagraph"/>
        <w:spacing w:after="0" w:line="240" w:lineRule="auto"/>
        <w:ind w:left="0" w:firstLine="720"/>
        <w:jc w:val="both"/>
        <w:rPr>
          <w:rFonts w:ascii="Times New Roman" w:hAnsi="Times New Roman"/>
          <w:sz w:val="24"/>
          <w:szCs w:val="24"/>
        </w:rPr>
      </w:pPr>
    </w:p>
    <w:p w:rsidR="007C5B6F" w:rsidRPr="001245B0" w:rsidRDefault="007C5B6F" w:rsidP="007C5B6F">
      <w:pPr>
        <w:pStyle w:val="ListParagraph"/>
        <w:spacing w:after="0" w:line="240" w:lineRule="auto"/>
        <w:ind w:left="0"/>
        <w:rPr>
          <w:rFonts w:ascii="Times New Roman" w:hAnsi="Times New Roman"/>
          <w:b/>
          <w:sz w:val="24"/>
          <w:szCs w:val="24"/>
        </w:rPr>
      </w:pPr>
      <w:r w:rsidRPr="001245B0">
        <w:rPr>
          <w:rFonts w:ascii="Times New Roman" w:hAnsi="Times New Roman"/>
          <w:b/>
          <w:sz w:val="24"/>
          <w:szCs w:val="24"/>
        </w:rPr>
        <w:t>HASIL PENELITIAN</w:t>
      </w:r>
    </w:p>
    <w:p w:rsidR="007C5B6F" w:rsidRPr="001245B0" w:rsidRDefault="007C5B6F" w:rsidP="007C5B6F">
      <w:pPr>
        <w:pStyle w:val="ListParagraph"/>
        <w:spacing w:after="0" w:line="240" w:lineRule="auto"/>
        <w:ind w:left="0"/>
        <w:jc w:val="both"/>
        <w:rPr>
          <w:rFonts w:ascii="Times New Roman" w:hAnsi="Times New Roman"/>
          <w:sz w:val="24"/>
          <w:szCs w:val="24"/>
        </w:rPr>
      </w:pPr>
      <w:r w:rsidRPr="001245B0">
        <w:rPr>
          <w:rFonts w:ascii="Times New Roman" w:hAnsi="Times New Roman"/>
          <w:sz w:val="24"/>
          <w:szCs w:val="24"/>
        </w:rPr>
        <w:t xml:space="preserve">Tabel 1 Distribusi umur responden </w:t>
      </w:r>
    </w:p>
    <w:tbl>
      <w:tblPr>
        <w:tblStyle w:val="TableGrid"/>
        <w:tblW w:w="0" w:type="auto"/>
        <w:tblInd w:w="108" w:type="dxa"/>
        <w:tblBorders>
          <w:left w:val="none" w:sz="0" w:space="0" w:color="auto"/>
          <w:right w:val="none" w:sz="0" w:space="0" w:color="auto"/>
          <w:insideV w:val="none" w:sz="0" w:space="0" w:color="auto"/>
        </w:tblBorders>
        <w:tblLayout w:type="fixed"/>
        <w:tblLook w:val="04A0"/>
      </w:tblPr>
      <w:tblGrid>
        <w:gridCol w:w="570"/>
        <w:gridCol w:w="1500"/>
        <w:gridCol w:w="907"/>
        <w:gridCol w:w="709"/>
      </w:tblGrid>
      <w:tr w:rsidR="007C5B6F" w:rsidRPr="00DA2ED9" w:rsidTr="008275BD">
        <w:trPr>
          <w:trHeight w:val="207"/>
        </w:trPr>
        <w:tc>
          <w:tcPr>
            <w:tcW w:w="570" w:type="dxa"/>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No.</w:t>
            </w:r>
          </w:p>
        </w:tc>
        <w:tc>
          <w:tcPr>
            <w:tcW w:w="1500" w:type="dxa"/>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Umur</w:t>
            </w:r>
          </w:p>
        </w:tc>
        <w:tc>
          <w:tcPr>
            <w:tcW w:w="907" w:type="dxa"/>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Jumlah</w:t>
            </w:r>
          </w:p>
        </w:tc>
        <w:tc>
          <w:tcPr>
            <w:tcW w:w="709" w:type="dxa"/>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w:t>
            </w:r>
          </w:p>
        </w:tc>
      </w:tr>
      <w:tr w:rsidR="007C5B6F" w:rsidRPr="00DA2ED9" w:rsidTr="008275BD">
        <w:tc>
          <w:tcPr>
            <w:tcW w:w="57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w:t>
            </w:r>
          </w:p>
        </w:tc>
        <w:tc>
          <w:tcPr>
            <w:tcW w:w="1500" w:type="dxa"/>
          </w:tcPr>
          <w:p w:rsidR="007C5B6F" w:rsidRPr="00DA2ED9" w:rsidRDefault="007C5B6F" w:rsidP="008275BD">
            <w:pPr>
              <w:pStyle w:val="ListParagraph"/>
              <w:spacing w:after="0" w:line="240" w:lineRule="auto"/>
              <w:ind w:left="0"/>
              <w:jc w:val="both"/>
              <w:rPr>
                <w:rFonts w:ascii="Times New Roman" w:hAnsi="Times New Roman"/>
                <w:sz w:val="20"/>
                <w:szCs w:val="20"/>
              </w:rPr>
            </w:pPr>
            <w:r w:rsidRPr="00DA2ED9">
              <w:rPr>
                <w:rFonts w:ascii="Times New Roman" w:hAnsi="Times New Roman"/>
                <w:sz w:val="20"/>
                <w:szCs w:val="20"/>
              </w:rPr>
              <w:t>25 – 45 tahun</w:t>
            </w:r>
          </w:p>
        </w:tc>
        <w:tc>
          <w:tcPr>
            <w:tcW w:w="907"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7</w:t>
            </w:r>
          </w:p>
        </w:tc>
        <w:tc>
          <w:tcPr>
            <w:tcW w:w="709"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17,1</w:t>
            </w:r>
          </w:p>
        </w:tc>
      </w:tr>
      <w:tr w:rsidR="007C5B6F" w:rsidRPr="00DA2ED9" w:rsidTr="008275BD">
        <w:tc>
          <w:tcPr>
            <w:tcW w:w="57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2.</w:t>
            </w:r>
          </w:p>
        </w:tc>
        <w:tc>
          <w:tcPr>
            <w:tcW w:w="1500" w:type="dxa"/>
          </w:tcPr>
          <w:p w:rsidR="007C5B6F" w:rsidRPr="00DA2ED9" w:rsidRDefault="007C5B6F" w:rsidP="008275BD">
            <w:pPr>
              <w:pStyle w:val="ListParagraph"/>
              <w:spacing w:after="0" w:line="240" w:lineRule="auto"/>
              <w:ind w:left="0"/>
              <w:jc w:val="both"/>
              <w:rPr>
                <w:rFonts w:ascii="Times New Roman" w:hAnsi="Times New Roman"/>
                <w:sz w:val="20"/>
                <w:szCs w:val="20"/>
              </w:rPr>
            </w:pPr>
            <w:r w:rsidRPr="00DA2ED9">
              <w:rPr>
                <w:rFonts w:ascii="Times New Roman" w:hAnsi="Times New Roman"/>
                <w:sz w:val="20"/>
                <w:szCs w:val="20"/>
              </w:rPr>
              <w:t>46 – 65 tahun</w:t>
            </w:r>
          </w:p>
        </w:tc>
        <w:tc>
          <w:tcPr>
            <w:tcW w:w="907"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24</w:t>
            </w:r>
          </w:p>
        </w:tc>
        <w:tc>
          <w:tcPr>
            <w:tcW w:w="709"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58,5</w:t>
            </w:r>
          </w:p>
        </w:tc>
      </w:tr>
      <w:tr w:rsidR="007C5B6F" w:rsidRPr="00DA2ED9" w:rsidTr="008275BD">
        <w:tc>
          <w:tcPr>
            <w:tcW w:w="57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3.</w:t>
            </w:r>
          </w:p>
        </w:tc>
        <w:tc>
          <w:tcPr>
            <w:tcW w:w="1500" w:type="dxa"/>
          </w:tcPr>
          <w:p w:rsidR="007C5B6F" w:rsidRPr="00DA2ED9" w:rsidRDefault="007C5B6F" w:rsidP="008275BD">
            <w:pPr>
              <w:pStyle w:val="ListParagraph"/>
              <w:spacing w:after="0" w:line="240" w:lineRule="auto"/>
              <w:ind w:left="0"/>
              <w:jc w:val="both"/>
              <w:rPr>
                <w:rFonts w:ascii="Times New Roman" w:hAnsi="Times New Roman"/>
                <w:sz w:val="20"/>
                <w:szCs w:val="20"/>
              </w:rPr>
            </w:pPr>
            <w:r w:rsidRPr="00DA2ED9">
              <w:rPr>
                <w:rFonts w:ascii="Times New Roman" w:hAnsi="Times New Roman"/>
                <w:sz w:val="20"/>
                <w:szCs w:val="20"/>
              </w:rPr>
              <w:t>Diatas 65 tahun</w:t>
            </w:r>
          </w:p>
        </w:tc>
        <w:tc>
          <w:tcPr>
            <w:tcW w:w="907"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10</w:t>
            </w:r>
          </w:p>
        </w:tc>
        <w:tc>
          <w:tcPr>
            <w:tcW w:w="709"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24,4</w:t>
            </w:r>
          </w:p>
        </w:tc>
      </w:tr>
      <w:tr w:rsidR="007C5B6F" w:rsidRPr="00DA2ED9" w:rsidTr="008275BD">
        <w:tc>
          <w:tcPr>
            <w:tcW w:w="2070" w:type="dxa"/>
            <w:gridSpan w:val="2"/>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Jumlah</w:t>
            </w:r>
          </w:p>
        </w:tc>
        <w:tc>
          <w:tcPr>
            <w:tcW w:w="907"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41</w:t>
            </w:r>
          </w:p>
        </w:tc>
        <w:tc>
          <w:tcPr>
            <w:tcW w:w="709"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100</w:t>
            </w:r>
          </w:p>
        </w:tc>
      </w:tr>
    </w:tbl>
    <w:p w:rsidR="007C5B6F" w:rsidRPr="001245B0" w:rsidRDefault="007C5B6F" w:rsidP="007C5B6F">
      <w:pPr>
        <w:pStyle w:val="ListParagraph"/>
        <w:spacing w:after="0" w:line="240" w:lineRule="auto"/>
        <w:ind w:left="0"/>
        <w:jc w:val="both"/>
        <w:rPr>
          <w:rFonts w:ascii="Times New Roman" w:hAnsi="Times New Roman"/>
          <w:sz w:val="24"/>
          <w:szCs w:val="24"/>
        </w:rPr>
      </w:pPr>
    </w:p>
    <w:p w:rsidR="007C5B6F" w:rsidRPr="001245B0" w:rsidRDefault="007C5B6F" w:rsidP="007C5B6F">
      <w:pPr>
        <w:pStyle w:val="ListParagraph"/>
        <w:spacing w:after="0" w:line="240" w:lineRule="auto"/>
        <w:ind w:left="0"/>
        <w:jc w:val="both"/>
        <w:rPr>
          <w:rFonts w:ascii="Times New Roman" w:hAnsi="Times New Roman"/>
          <w:sz w:val="24"/>
          <w:szCs w:val="24"/>
        </w:rPr>
      </w:pPr>
      <w:r w:rsidRPr="001245B0">
        <w:rPr>
          <w:rFonts w:ascii="Times New Roman" w:hAnsi="Times New Roman"/>
          <w:sz w:val="24"/>
          <w:szCs w:val="24"/>
        </w:rPr>
        <w:t xml:space="preserve">Tabel 1 menunjukkan kelompok usia 46 – 65 tahun mempunyai persentase terbanyak </w:t>
      </w:r>
    </w:p>
    <w:p w:rsidR="007C5B6F" w:rsidRPr="001245B0" w:rsidRDefault="007C5B6F" w:rsidP="007C5B6F">
      <w:pPr>
        <w:pStyle w:val="ListParagraph"/>
        <w:spacing w:after="0" w:line="240" w:lineRule="auto"/>
        <w:ind w:left="90"/>
        <w:jc w:val="both"/>
        <w:rPr>
          <w:rFonts w:ascii="Times New Roman" w:hAnsi="Times New Roman"/>
          <w:sz w:val="24"/>
          <w:szCs w:val="24"/>
        </w:rPr>
      </w:pPr>
    </w:p>
    <w:p w:rsidR="007C5B6F" w:rsidRPr="001245B0" w:rsidRDefault="007C5B6F" w:rsidP="007C5B6F">
      <w:pPr>
        <w:pStyle w:val="ListParagraph"/>
        <w:spacing w:after="0" w:line="240" w:lineRule="auto"/>
        <w:ind w:left="0"/>
        <w:jc w:val="both"/>
        <w:rPr>
          <w:rFonts w:ascii="Times New Roman" w:hAnsi="Times New Roman"/>
          <w:sz w:val="24"/>
          <w:szCs w:val="24"/>
        </w:rPr>
      </w:pPr>
      <w:r w:rsidRPr="001245B0">
        <w:rPr>
          <w:rFonts w:ascii="Times New Roman" w:hAnsi="Times New Roman"/>
          <w:sz w:val="24"/>
          <w:szCs w:val="24"/>
        </w:rPr>
        <w:t>Tabel 2 Distribusi lamanya responden menderita DM</w:t>
      </w:r>
    </w:p>
    <w:tbl>
      <w:tblPr>
        <w:tblStyle w:val="TableGrid"/>
        <w:tblW w:w="0" w:type="auto"/>
        <w:tblInd w:w="198" w:type="dxa"/>
        <w:tblBorders>
          <w:left w:val="none" w:sz="0" w:space="0" w:color="auto"/>
          <w:right w:val="none" w:sz="0" w:space="0" w:color="auto"/>
          <w:insideV w:val="none" w:sz="0" w:space="0" w:color="auto"/>
        </w:tblBorders>
        <w:tblLayout w:type="fixed"/>
        <w:tblLook w:val="04A0"/>
      </w:tblPr>
      <w:tblGrid>
        <w:gridCol w:w="511"/>
        <w:gridCol w:w="1951"/>
        <w:gridCol w:w="850"/>
        <w:gridCol w:w="567"/>
      </w:tblGrid>
      <w:tr w:rsidR="007C5B6F" w:rsidRPr="00DA2ED9" w:rsidTr="008275BD">
        <w:tc>
          <w:tcPr>
            <w:tcW w:w="511" w:type="dxa"/>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No.</w:t>
            </w:r>
          </w:p>
        </w:tc>
        <w:tc>
          <w:tcPr>
            <w:tcW w:w="1951" w:type="dxa"/>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Lama Menderita DM</w:t>
            </w:r>
          </w:p>
        </w:tc>
        <w:tc>
          <w:tcPr>
            <w:tcW w:w="850" w:type="dxa"/>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Jumlah</w:t>
            </w:r>
          </w:p>
        </w:tc>
        <w:tc>
          <w:tcPr>
            <w:tcW w:w="567" w:type="dxa"/>
            <w:vAlign w:val="center"/>
          </w:tcPr>
          <w:p w:rsidR="007C5B6F" w:rsidRPr="00DA2ED9" w:rsidRDefault="007C5B6F" w:rsidP="008275BD">
            <w:pPr>
              <w:pStyle w:val="ListParagraph"/>
              <w:spacing w:after="0" w:line="240" w:lineRule="auto"/>
              <w:ind w:left="0"/>
              <w:rPr>
                <w:rFonts w:ascii="Times New Roman" w:hAnsi="Times New Roman"/>
                <w:sz w:val="20"/>
                <w:szCs w:val="20"/>
              </w:rPr>
            </w:pPr>
            <w:r w:rsidRPr="00DA2ED9">
              <w:rPr>
                <w:rFonts w:ascii="Times New Roman" w:hAnsi="Times New Roman"/>
                <w:sz w:val="20"/>
                <w:szCs w:val="20"/>
              </w:rPr>
              <w:t xml:space="preserve"> (%)</w:t>
            </w:r>
          </w:p>
        </w:tc>
      </w:tr>
      <w:tr w:rsidR="007C5B6F" w:rsidRPr="00DA2ED9" w:rsidTr="008275BD">
        <w:tc>
          <w:tcPr>
            <w:tcW w:w="511"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w:t>
            </w:r>
          </w:p>
        </w:tc>
        <w:tc>
          <w:tcPr>
            <w:tcW w:w="1951" w:type="dxa"/>
          </w:tcPr>
          <w:p w:rsidR="007C5B6F" w:rsidRPr="00DA2ED9" w:rsidRDefault="007C5B6F" w:rsidP="008275BD">
            <w:pPr>
              <w:pStyle w:val="ListParagraph"/>
              <w:spacing w:after="0" w:line="240" w:lineRule="auto"/>
              <w:ind w:left="0"/>
              <w:jc w:val="both"/>
              <w:rPr>
                <w:rFonts w:ascii="Times New Roman" w:hAnsi="Times New Roman"/>
                <w:sz w:val="20"/>
                <w:szCs w:val="20"/>
              </w:rPr>
            </w:pPr>
            <w:r w:rsidRPr="00DA2ED9">
              <w:rPr>
                <w:rFonts w:ascii="Times New Roman" w:hAnsi="Times New Roman"/>
                <w:sz w:val="20"/>
                <w:szCs w:val="20"/>
              </w:rPr>
              <w:t>Kurang dari 1 tahun</w:t>
            </w:r>
          </w:p>
        </w:tc>
        <w:tc>
          <w:tcPr>
            <w:tcW w:w="85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10</w:t>
            </w:r>
          </w:p>
        </w:tc>
        <w:tc>
          <w:tcPr>
            <w:tcW w:w="567"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24,4</w:t>
            </w:r>
          </w:p>
        </w:tc>
      </w:tr>
      <w:tr w:rsidR="007C5B6F" w:rsidRPr="00DA2ED9" w:rsidTr="008275BD">
        <w:tc>
          <w:tcPr>
            <w:tcW w:w="511"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2.</w:t>
            </w:r>
          </w:p>
        </w:tc>
        <w:tc>
          <w:tcPr>
            <w:tcW w:w="1951" w:type="dxa"/>
          </w:tcPr>
          <w:p w:rsidR="007C5B6F" w:rsidRPr="00DA2ED9" w:rsidRDefault="007C5B6F" w:rsidP="008275BD">
            <w:pPr>
              <w:pStyle w:val="ListParagraph"/>
              <w:spacing w:after="0" w:line="240" w:lineRule="auto"/>
              <w:ind w:left="0"/>
              <w:jc w:val="both"/>
              <w:rPr>
                <w:rFonts w:ascii="Times New Roman" w:hAnsi="Times New Roman"/>
                <w:sz w:val="20"/>
                <w:szCs w:val="20"/>
              </w:rPr>
            </w:pPr>
            <w:r w:rsidRPr="00DA2ED9">
              <w:rPr>
                <w:rFonts w:ascii="Times New Roman" w:hAnsi="Times New Roman"/>
                <w:sz w:val="20"/>
                <w:szCs w:val="20"/>
              </w:rPr>
              <w:t>1 – 5 tahun</w:t>
            </w:r>
          </w:p>
        </w:tc>
        <w:tc>
          <w:tcPr>
            <w:tcW w:w="85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18</w:t>
            </w:r>
          </w:p>
        </w:tc>
        <w:tc>
          <w:tcPr>
            <w:tcW w:w="567"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43,9</w:t>
            </w:r>
          </w:p>
        </w:tc>
      </w:tr>
      <w:tr w:rsidR="007C5B6F" w:rsidRPr="00DA2ED9" w:rsidTr="008275BD">
        <w:tc>
          <w:tcPr>
            <w:tcW w:w="511"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3.</w:t>
            </w:r>
          </w:p>
        </w:tc>
        <w:tc>
          <w:tcPr>
            <w:tcW w:w="1951" w:type="dxa"/>
          </w:tcPr>
          <w:p w:rsidR="007C5B6F" w:rsidRPr="00DA2ED9" w:rsidRDefault="007C5B6F" w:rsidP="008275BD">
            <w:pPr>
              <w:pStyle w:val="ListParagraph"/>
              <w:spacing w:after="0" w:line="240" w:lineRule="auto"/>
              <w:ind w:left="0"/>
              <w:jc w:val="both"/>
              <w:rPr>
                <w:rFonts w:ascii="Times New Roman" w:hAnsi="Times New Roman"/>
                <w:sz w:val="20"/>
                <w:szCs w:val="20"/>
              </w:rPr>
            </w:pPr>
            <w:r w:rsidRPr="00DA2ED9">
              <w:rPr>
                <w:rFonts w:ascii="Times New Roman" w:hAnsi="Times New Roman"/>
                <w:sz w:val="20"/>
                <w:szCs w:val="20"/>
              </w:rPr>
              <w:t>Lebih dari 5 tahun</w:t>
            </w:r>
          </w:p>
        </w:tc>
        <w:tc>
          <w:tcPr>
            <w:tcW w:w="85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13</w:t>
            </w:r>
          </w:p>
        </w:tc>
        <w:tc>
          <w:tcPr>
            <w:tcW w:w="567"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31,7</w:t>
            </w:r>
          </w:p>
        </w:tc>
      </w:tr>
      <w:tr w:rsidR="007C5B6F" w:rsidRPr="00DA2ED9" w:rsidTr="008275BD">
        <w:tc>
          <w:tcPr>
            <w:tcW w:w="2462" w:type="dxa"/>
            <w:gridSpan w:val="2"/>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Jumlah</w:t>
            </w:r>
          </w:p>
        </w:tc>
        <w:tc>
          <w:tcPr>
            <w:tcW w:w="85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41</w:t>
            </w:r>
          </w:p>
        </w:tc>
        <w:tc>
          <w:tcPr>
            <w:tcW w:w="567"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100</w:t>
            </w:r>
          </w:p>
        </w:tc>
      </w:tr>
    </w:tbl>
    <w:p w:rsidR="007C5B6F" w:rsidRPr="001245B0" w:rsidRDefault="007C5B6F" w:rsidP="007C5B6F">
      <w:pPr>
        <w:pStyle w:val="ListParagraph"/>
        <w:spacing w:after="0" w:line="240" w:lineRule="auto"/>
        <w:ind w:left="0"/>
        <w:jc w:val="both"/>
        <w:rPr>
          <w:rFonts w:ascii="Times New Roman" w:hAnsi="Times New Roman"/>
          <w:sz w:val="24"/>
          <w:szCs w:val="24"/>
        </w:rPr>
      </w:pPr>
    </w:p>
    <w:p w:rsidR="007C5B6F" w:rsidRPr="001245B0" w:rsidRDefault="007C5B6F" w:rsidP="007C5B6F">
      <w:pPr>
        <w:pStyle w:val="ListParagraph"/>
        <w:spacing w:after="0" w:line="240" w:lineRule="auto"/>
        <w:ind w:left="90"/>
        <w:jc w:val="both"/>
        <w:rPr>
          <w:rFonts w:ascii="Times New Roman" w:hAnsi="Times New Roman"/>
          <w:sz w:val="24"/>
          <w:szCs w:val="24"/>
        </w:rPr>
      </w:pPr>
      <w:r w:rsidRPr="001245B0">
        <w:rPr>
          <w:rFonts w:ascii="Times New Roman" w:hAnsi="Times New Roman"/>
          <w:sz w:val="24"/>
          <w:szCs w:val="24"/>
        </w:rPr>
        <w:t xml:space="preserve">Tabel 2 menunjukkan responden yang menderita DM 1 – 5 tahun  mempunyai persentase terbanyak </w:t>
      </w:r>
    </w:p>
    <w:p w:rsidR="007C5B6F" w:rsidRPr="001245B0" w:rsidRDefault="007C5B6F" w:rsidP="007C5B6F">
      <w:pPr>
        <w:pStyle w:val="ListParagraph"/>
        <w:spacing w:after="0" w:line="240" w:lineRule="auto"/>
        <w:ind w:left="90"/>
        <w:jc w:val="both"/>
        <w:rPr>
          <w:rFonts w:ascii="Times New Roman" w:hAnsi="Times New Roman"/>
          <w:sz w:val="24"/>
          <w:szCs w:val="24"/>
        </w:rPr>
      </w:pPr>
    </w:p>
    <w:p w:rsidR="007C5B6F" w:rsidRPr="001245B0" w:rsidRDefault="007C5B6F" w:rsidP="007C5B6F">
      <w:pPr>
        <w:pStyle w:val="ListParagraph"/>
        <w:spacing w:after="0" w:line="240" w:lineRule="auto"/>
        <w:ind w:left="90"/>
        <w:jc w:val="both"/>
        <w:rPr>
          <w:rFonts w:ascii="Times New Roman" w:hAnsi="Times New Roman"/>
          <w:sz w:val="24"/>
          <w:szCs w:val="24"/>
        </w:rPr>
      </w:pPr>
      <w:r w:rsidRPr="001245B0">
        <w:rPr>
          <w:rFonts w:ascii="Times New Roman" w:hAnsi="Times New Roman"/>
          <w:sz w:val="24"/>
          <w:szCs w:val="24"/>
        </w:rPr>
        <w:t xml:space="preserve">Tabel 3 Distribusi dukungan keluarga  </w:t>
      </w:r>
    </w:p>
    <w:tbl>
      <w:tblPr>
        <w:tblStyle w:val="TableGrid"/>
        <w:tblW w:w="0" w:type="auto"/>
        <w:tblInd w:w="198" w:type="dxa"/>
        <w:tblBorders>
          <w:left w:val="none" w:sz="0" w:space="0" w:color="auto"/>
          <w:right w:val="none" w:sz="0" w:space="0" w:color="auto"/>
          <w:insideV w:val="none" w:sz="0" w:space="0" w:color="auto"/>
        </w:tblBorders>
        <w:tblLook w:val="04A0"/>
      </w:tblPr>
      <w:tblGrid>
        <w:gridCol w:w="570"/>
        <w:gridCol w:w="1892"/>
        <w:gridCol w:w="850"/>
        <w:gridCol w:w="738"/>
      </w:tblGrid>
      <w:tr w:rsidR="007C5B6F" w:rsidRPr="00DA2ED9" w:rsidTr="008275BD">
        <w:tc>
          <w:tcPr>
            <w:tcW w:w="570" w:type="dxa"/>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No.</w:t>
            </w:r>
          </w:p>
        </w:tc>
        <w:tc>
          <w:tcPr>
            <w:tcW w:w="1892" w:type="dxa"/>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Dukungan Keluarga</w:t>
            </w:r>
          </w:p>
        </w:tc>
        <w:tc>
          <w:tcPr>
            <w:tcW w:w="850" w:type="dxa"/>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Jumlah</w:t>
            </w:r>
          </w:p>
        </w:tc>
        <w:tc>
          <w:tcPr>
            <w:tcW w:w="738" w:type="dxa"/>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w:t>
            </w:r>
          </w:p>
        </w:tc>
      </w:tr>
      <w:tr w:rsidR="007C5B6F" w:rsidRPr="00DA2ED9" w:rsidTr="008275BD">
        <w:tc>
          <w:tcPr>
            <w:tcW w:w="57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w:t>
            </w:r>
          </w:p>
        </w:tc>
        <w:tc>
          <w:tcPr>
            <w:tcW w:w="1892" w:type="dxa"/>
          </w:tcPr>
          <w:p w:rsidR="007C5B6F" w:rsidRPr="00DA2ED9" w:rsidRDefault="007C5B6F" w:rsidP="008275BD">
            <w:pPr>
              <w:pStyle w:val="ListParagraph"/>
              <w:spacing w:after="0" w:line="240" w:lineRule="auto"/>
              <w:ind w:left="0"/>
              <w:jc w:val="both"/>
              <w:rPr>
                <w:rFonts w:ascii="Times New Roman" w:hAnsi="Times New Roman"/>
                <w:sz w:val="20"/>
                <w:szCs w:val="20"/>
              </w:rPr>
            </w:pPr>
            <w:r w:rsidRPr="00DA2ED9">
              <w:rPr>
                <w:rFonts w:ascii="Times New Roman" w:hAnsi="Times New Roman"/>
                <w:sz w:val="20"/>
                <w:szCs w:val="20"/>
              </w:rPr>
              <w:t>Baik</w:t>
            </w:r>
          </w:p>
        </w:tc>
        <w:tc>
          <w:tcPr>
            <w:tcW w:w="85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19</w:t>
            </w:r>
          </w:p>
        </w:tc>
        <w:tc>
          <w:tcPr>
            <w:tcW w:w="738"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46,3</w:t>
            </w:r>
          </w:p>
        </w:tc>
      </w:tr>
      <w:tr w:rsidR="007C5B6F" w:rsidRPr="00DA2ED9" w:rsidTr="008275BD">
        <w:tc>
          <w:tcPr>
            <w:tcW w:w="57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2.</w:t>
            </w:r>
          </w:p>
        </w:tc>
        <w:tc>
          <w:tcPr>
            <w:tcW w:w="1892" w:type="dxa"/>
          </w:tcPr>
          <w:p w:rsidR="007C5B6F" w:rsidRPr="00DA2ED9" w:rsidRDefault="007C5B6F" w:rsidP="008275BD">
            <w:pPr>
              <w:pStyle w:val="ListParagraph"/>
              <w:spacing w:after="0" w:line="240" w:lineRule="auto"/>
              <w:ind w:left="0"/>
              <w:jc w:val="both"/>
              <w:rPr>
                <w:rFonts w:ascii="Times New Roman" w:hAnsi="Times New Roman"/>
                <w:sz w:val="20"/>
                <w:szCs w:val="20"/>
              </w:rPr>
            </w:pPr>
            <w:r w:rsidRPr="00DA2ED9">
              <w:rPr>
                <w:rFonts w:ascii="Times New Roman" w:hAnsi="Times New Roman"/>
                <w:sz w:val="20"/>
                <w:szCs w:val="20"/>
              </w:rPr>
              <w:t>Tidak Baik</w:t>
            </w:r>
          </w:p>
        </w:tc>
        <w:tc>
          <w:tcPr>
            <w:tcW w:w="85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22</w:t>
            </w:r>
          </w:p>
        </w:tc>
        <w:tc>
          <w:tcPr>
            <w:tcW w:w="738"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53,7</w:t>
            </w:r>
          </w:p>
        </w:tc>
      </w:tr>
      <w:tr w:rsidR="007C5B6F" w:rsidRPr="00DA2ED9" w:rsidTr="008275BD">
        <w:tc>
          <w:tcPr>
            <w:tcW w:w="2462" w:type="dxa"/>
            <w:gridSpan w:val="2"/>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Jumlah</w:t>
            </w:r>
          </w:p>
        </w:tc>
        <w:tc>
          <w:tcPr>
            <w:tcW w:w="85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41</w:t>
            </w:r>
          </w:p>
        </w:tc>
        <w:tc>
          <w:tcPr>
            <w:tcW w:w="738"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100</w:t>
            </w:r>
          </w:p>
        </w:tc>
      </w:tr>
    </w:tbl>
    <w:p w:rsidR="007C5B6F" w:rsidRPr="001245B0" w:rsidRDefault="007C5B6F" w:rsidP="007C5B6F">
      <w:pPr>
        <w:pStyle w:val="ListParagraph"/>
        <w:spacing w:after="0" w:line="240" w:lineRule="auto"/>
        <w:ind w:left="90"/>
        <w:jc w:val="both"/>
        <w:rPr>
          <w:rFonts w:ascii="Times New Roman" w:hAnsi="Times New Roman"/>
          <w:sz w:val="24"/>
          <w:szCs w:val="24"/>
        </w:rPr>
      </w:pPr>
    </w:p>
    <w:p w:rsidR="007C5B6F" w:rsidRPr="001245B0" w:rsidRDefault="007C5B6F" w:rsidP="007C5B6F">
      <w:pPr>
        <w:pStyle w:val="ListParagraph"/>
        <w:spacing w:after="0" w:line="240" w:lineRule="auto"/>
        <w:ind w:left="90"/>
        <w:jc w:val="both"/>
        <w:rPr>
          <w:rFonts w:ascii="Times New Roman" w:hAnsi="Times New Roman"/>
          <w:sz w:val="24"/>
          <w:szCs w:val="24"/>
        </w:rPr>
      </w:pPr>
      <w:r w:rsidRPr="001245B0">
        <w:rPr>
          <w:rFonts w:ascii="Times New Roman" w:hAnsi="Times New Roman"/>
          <w:sz w:val="24"/>
          <w:szCs w:val="24"/>
        </w:rPr>
        <w:t xml:space="preserve">Tabel 3 menunjukkan  dukungan keluarga pada responden hampir setengahnya berkategori  baik </w:t>
      </w:r>
    </w:p>
    <w:p w:rsidR="007C5B6F" w:rsidRPr="001245B0" w:rsidRDefault="007C5B6F" w:rsidP="007C5B6F">
      <w:pPr>
        <w:pStyle w:val="ListParagraph"/>
        <w:spacing w:after="0" w:line="240" w:lineRule="auto"/>
        <w:ind w:left="90"/>
        <w:jc w:val="both"/>
        <w:rPr>
          <w:rFonts w:ascii="Times New Roman" w:hAnsi="Times New Roman"/>
          <w:sz w:val="24"/>
          <w:szCs w:val="24"/>
        </w:rPr>
      </w:pPr>
    </w:p>
    <w:p w:rsidR="007C5B6F" w:rsidRPr="001245B0" w:rsidRDefault="007C5B6F" w:rsidP="007C5B6F">
      <w:pPr>
        <w:pStyle w:val="ListParagraph"/>
        <w:spacing w:after="0" w:line="240" w:lineRule="auto"/>
        <w:ind w:left="90"/>
        <w:jc w:val="both"/>
        <w:rPr>
          <w:rFonts w:ascii="Times New Roman" w:hAnsi="Times New Roman"/>
          <w:sz w:val="24"/>
          <w:szCs w:val="24"/>
        </w:rPr>
      </w:pPr>
      <w:r w:rsidRPr="001245B0">
        <w:rPr>
          <w:rFonts w:ascii="Times New Roman" w:hAnsi="Times New Roman"/>
          <w:sz w:val="24"/>
          <w:szCs w:val="24"/>
        </w:rPr>
        <w:lastRenderedPageBreak/>
        <w:t>Tabel 4. Distribusi ketaatan pola makan responden</w:t>
      </w:r>
    </w:p>
    <w:tbl>
      <w:tblPr>
        <w:tblStyle w:val="TableGrid"/>
        <w:tblW w:w="0" w:type="auto"/>
        <w:tblInd w:w="198" w:type="dxa"/>
        <w:tblBorders>
          <w:left w:val="none" w:sz="0" w:space="0" w:color="auto"/>
          <w:right w:val="none" w:sz="0" w:space="0" w:color="auto"/>
          <w:insideV w:val="none" w:sz="0" w:space="0" w:color="auto"/>
        </w:tblBorders>
        <w:tblLayout w:type="fixed"/>
        <w:tblLook w:val="04A0"/>
      </w:tblPr>
      <w:tblGrid>
        <w:gridCol w:w="531"/>
        <w:gridCol w:w="2073"/>
        <w:gridCol w:w="850"/>
        <w:gridCol w:w="567"/>
      </w:tblGrid>
      <w:tr w:rsidR="007C5B6F" w:rsidRPr="00DA2ED9" w:rsidTr="008275BD">
        <w:tc>
          <w:tcPr>
            <w:tcW w:w="531"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No.</w:t>
            </w:r>
          </w:p>
        </w:tc>
        <w:tc>
          <w:tcPr>
            <w:tcW w:w="2073"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Ketaatan Pola Makan</w:t>
            </w:r>
          </w:p>
        </w:tc>
        <w:tc>
          <w:tcPr>
            <w:tcW w:w="85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Jumlah</w:t>
            </w:r>
          </w:p>
        </w:tc>
        <w:tc>
          <w:tcPr>
            <w:tcW w:w="567" w:type="dxa"/>
          </w:tcPr>
          <w:p w:rsidR="007C5B6F" w:rsidRPr="00DA2ED9" w:rsidRDefault="007C5B6F" w:rsidP="008275BD">
            <w:pPr>
              <w:pStyle w:val="ListParagraph"/>
              <w:spacing w:after="0" w:line="240" w:lineRule="auto"/>
              <w:ind w:left="0"/>
              <w:rPr>
                <w:rFonts w:ascii="Times New Roman" w:hAnsi="Times New Roman"/>
                <w:sz w:val="20"/>
                <w:szCs w:val="20"/>
              </w:rPr>
            </w:pPr>
            <w:r w:rsidRPr="00DA2ED9">
              <w:rPr>
                <w:rFonts w:ascii="Times New Roman" w:hAnsi="Times New Roman"/>
                <w:sz w:val="20"/>
                <w:szCs w:val="20"/>
              </w:rPr>
              <w:t xml:space="preserve"> (%)</w:t>
            </w:r>
          </w:p>
        </w:tc>
      </w:tr>
      <w:tr w:rsidR="007C5B6F" w:rsidRPr="00DA2ED9" w:rsidTr="008275BD">
        <w:tc>
          <w:tcPr>
            <w:tcW w:w="531"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w:t>
            </w:r>
          </w:p>
        </w:tc>
        <w:tc>
          <w:tcPr>
            <w:tcW w:w="2073" w:type="dxa"/>
          </w:tcPr>
          <w:p w:rsidR="007C5B6F" w:rsidRPr="00DA2ED9" w:rsidRDefault="007C5B6F" w:rsidP="008275BD">
            <w:pPr>
              <w:pStyle w:val="ListParagraph"/>
              <w:spacing w:after="0" w:line="240" w:lineRule="auto"/>
              <w:ind w:left="0"/>
              <w:jc w:val="both"/>
              <w:rPr>
                <w:rFonts w:ascii="Times New Roman" w:hAnsi="Times New Roman"/>
                <w:sz w:val="20"/>
                <w:szCs w:val="20"/>
              </w:rPr>
            </w:pPr>
            <w:r w:rsidRPr="00DA2ED9">
              <w:rPr>
                <w:rFonts w:ascii="Times New Roman" w:hAnsi="Times New Roman"/>
                <w:sz w:val="20"/>
                <w:szCs w:val="20"/>
              </w:rPr>
              <w:t>Taat</w:t>
            </w:r>
          </w:p>
        </w:tc>
        <w:tc>
          <w:tcPr>
            <w:tcW w:w="85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23</w:t>
            </w:r>
          </w:p>
        </w:tc>
        <w:tc>
          <w:tcPr>
            <w:tcW w:w="567"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56,1</w:t>
            </w:r>
          </w:p>
        </w:tc>
      </w:tr>
      <w:tr w:rsidR="007C5B6F" w:rsidRPr="00DA2ED9" w:rsidTr="008275BD">
        <w:tc>
          <w:tcPr>
            <w:tcW w:w="531"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2.</w:t>
            </w:r>
          </w:p>
        </w:tc>
        <w:tc>
          <w:tcPr>
            <w:tcW w:w="2073" w:type="dxa"/>
          </w:tcPr>
          <w:p w:rsidR="007C5B6F" w:rsidRPr="00DA2ED9" w:rsidRDefault="007C5B6F" w:rsidP="008275BD">
            <w:pPr>
              <w:pStyle w:val="ListParagraph"/>
              <w:spacing w:after="0" w:line="240" w:lineRule="auto"/>
              <w:ind w:left="0"/>
              <w:jc w:val="both"/>
              <w:rPr>
                <w:rFonts w:ascii="Times New Roman" w:hAnsi="Times New Roman"/>
                <w:sz w:val="20"/>
                <w:szCs w:val="20"/>
              </w:rPr>
            </w:pPr>
            <w:r w:rsidRPr="00DA2ED9">
              <w:rPr>
                <w:rFonts w:ascii="Times New Roman" w:hAnsi="Times New Roman"/>
                <w:sz w:val="20"/>
                <w:szCs w:val="20"/>
              </w:rPr>
              <w:t>Tidak Taat</w:t>
            </w:r>
          </w:p>
        </w:tc>
        <w:tc>
          <w:tcPr>
            <w:tcW w:w="85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18</w:t>
            </w:r>
          </w:p>
        </w:tc>
        <w:tc>
          <w:tcPr>
            <w:tcW w:w="567"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43,9</w:t>
            </w:r>
          </w:p>
        </w:tc>
      </w:tr>
      <w:tr w:rsidR="007C5B6F" w:rsidRPr="00DA2ED9" w:rsidTr="008275BD">
        <w:tc>
          <w:tcPr>
            <w:tcW w:w="2604" w:type="dxa"/>
            <w:gridSpan w:val="2"/>
            <w:vAlign w:val="center"/>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Jumlah</w:t>
            </w:r>
          </w:p>
        </w:tc>
        <w:tc>
          <w:tcPr>
            <w:tcW w:w="850"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41</w:t>
            </w:r>
          </w:p>
        </w:tc>
        <w:tc>
          <w:tcPr>
            <w:tcW w:w="567" w:type="dxa"/>
          </w:tcPr>
          <w:p w:rsidR="007C5B6F" w:rsidRPr="00DA2ED9" w:rsidRDefault="007C5B6F" w:rsidP="008275BD">
            <w:pPr>
              <w:pStyle w:val="ListParagraph"/>
              <w:spacing w:after="0" w:line="240" w:lineRule="auto"/>
              <w:ind w:left="0"/>
              <w:jc w:val="center"/>
              <w:rPr>
                <w:rFonts w:ascii="Times New Roman" w:hAnsi="Times New Roman"/>
                <w:sz w:val="20"/>
                <w:szCs w:val="20"/>
              </w:rPr>
            </w:pPr>
            <w:r w:rsidRPr="00DA2ED9">
              <w:rPr>
                <w:rFonts w:ascii="Times New Roman" w:hAnsi="Times New Roman"/>
                <w:sz w:val="20"/>
                <w:szCs w:val="20"/>
              </w:rPr>
              <w:t>100</w:t>
            </w:r>
          </w:p>
        </w:tc>
      </w:tr>
    </w:tbl>
    <w:p w:rsidR="007C5B6F" w:rsidRPr="001245B0" w:rsidRDefault="007C5B6F" w:rsidP="007C5B6F">
      <w:pPr>
        <w:pStyle w:val="ListParagraph"/>
        <w:spacing w:after="0" w:line="240" w:lineRule="auto"/>
        <w:ind w:left="90"/>
        <w:jc w:val="both"/>
        <w:rPr>
          <w:rFonts w:ascii="Times New Roman" w:hAnsi="Times New Roman"/>
          <w:sz w:val="24"/>
          <w:szCs w:val="24"/>
        </w:rPr>
      </w:pPr>
    </w:p>
    <w:p w:rsidR="007C5B6F" w:rsidRPr="00DA2ED9" w:rsidRDefault="007C5B6F" w:rsidP="007C5B6F">
      <w:pPr>
        <w:pStyle w:val="ListParagraph"/>
        <w:spacing w:after="0" w:line="240" w:lineRule="auto"/>
        <w:ind w:left="90"/>
        <w:jc w:val="both"/>
        <w:rPr>
          <w:rFonts w:ascii="Times New Roman" w:hAnsi="Times New Roman"/>
          <w:sz w:val="24"/>
          <w:szCs w:val="24"/>
        </w:rPr>
      </w:pPr>
      <w:r w:rsidRPr="001245B0">
        <w:rPr>
          <w:rFonts w:ascii="Times New Roman" w:hAnsi="Times New Roman"/>
          <w:sz w:val="24"/>
          <w:szCs w:val="24"/>
        </w:rPr>
        <w:t>Tabel 4 menunjukkan responden  yang taat dalam pola makan mempunyai persentase yang lebih banyak.</w:t>
      </w:r>
    </w:p>
    <w:p w:rsidR="007C5B6F" w:rsidRPr="001245B0" w:rsidRDefault="007C5B6F" w:rsidP="007C5B6F">
      <w:pPr>
        <w:jc w:val="both"/>
        <w:rPr>
          <w:sz w:val="24"/>
          <w:szCs w:val="24"/>
        </w:rPr>
      </w:pPr>
      <w:r w:rsidRPr="001245B0">
        <w:rPr>
          <w:sz w:val="24"/>
          <w:szCs w:val="24"/>
        </w:rPr>
        <w:t>Tabel 5 Hubungan Dukungan Keluarga dengan Ketaatan Pola Makan</w:t>
      </w:r>
    </w:p>
    <w:tbl>
      <w:tblPr>
        <w:tblW w:w="4320" w:type="dxa"/>
        <w:tblInd w:w="93" w:type="dxa"/>
        <w:tblBorders>
          <w:top w:val="single" w:sz="4" w:space="0" w:color="auto"/>
          <w:bottom w:val="single" w:sz="4" w:space="0" w:color="auto"/>
          <w:insideH w:val="single" w:sz="4" w:space="0" w:color="auto"/>
        </w:tblBorders>
        <w:tblLayout w:type="fixed"/>
        <w:tblCellMar>
          <w:left w:w="93" w:type="dxa"/>
          <w:right w:w="93" w:type="dxa"/>
        </w:tblCellMar>
        <w:tblLook w:val="0000"/>
      </w:tblPr>
      <w:tblGrid>
        <w:gridCol w:w="1080"/>
        <w:gridCol w:w="900"/>
        <w:gridCol w:w="810"/>
        <w:gridCol w:w="720"/>
        <w:gridCol w:w="810"/>
      </w:tblGrid>
      <w:tr w:rsidR="007C5B6F" w:rsidRPr="00DA2ED9" w:rsidTr="008275BD">
        <w:trPr>
          <w:trHeight w:val="273"/>
        </w:trPr>
        <w:tc>
          <w:tcPr>
            <w:tcW w:w="1980" w:type="dxa"/>
            <w:gridSpan w:val="2"/>
            <w:vMerge w:val="restart"/>
            <w:shd w:val="clear" w:color="000000" w:fill="FFFFFF"/>
            <w:vAlign w:val="bottom"/>
          </w:tcPr>
          <w:p w:rsidR="007C5B6F" w:rsidRPr="00DA2ED9" w:rsidRDefault="007C5B6F" w:rsidP="008275BD">
            <w:pPr>
              <w:autoSpaceDE w:val="0"/>
              <w:autoSpaceDN w:val="0"/>
              <w:adjustRightInd w:val="0"/>
              <w:rPr>
                <w:color w:val="000000"/>
              </w:rPr>
            </w:pPr>
          </w:p>
        </w:tc>
        <w:tc>
          <w:tcPr>
            <w:tcW w:w="1530" w:type="dxa"/>
            <w:gridSpan w:val="2"/>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Ketaatan Pola Makan</w:t>
            </w: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Total</w:t>
            </w:r>
          </w:p>
        </w:tc>
      </w:tr>
      <w:tr w:rsidR="007C5B6F" w:rsidRPr="00DA2ED9" w:rsidTr="008275BD">
        <w:trPr>
          <w:trHeight w:val="273"/>
        </w:trPr>
        <w:tc>
          <w:tcPr>
            <w:tcW w:w="1980" w:type="dxa"/>
            <w:gridSpan w:val="2"/>
            <w:vMerge/>
            <w:shd w:val="clear" w:color="000000" w:fill="FFFFFF"/>
            <w:vAlign w:val="bottom"/>
          </w:tcPr>
          <w:p w:rsidR="007C5B6F" w:rsidRPr="00DA2ED9" w:rsidRDefault="007C5B6F" w:rsidP="008275BD">
            <w:pPr>
              <w:autoSpaceDE w:val="0"/>
              <w:autoSpaceDN w:val="0"/>
              <w:adjustRightInd w:val="0"/>
              <w:rPr>
                <w:color w:val="000000"/>
              </w:rPr>
            </w:pP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Taat</w:t>
            </w:r>
          </w:p>
        </w:tc>
        <w:tc>
          <w:tcPr>
            <w:tcW w:w="72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Tidak Taat</w:t>
            </w: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p>
        </w:tc>
      </w:tr>
      <w:tr w:rsidR="007C5B6F" w:rsidRPr="00DA2ED9" w:rsidTr="008275BD">
        <w:trPr>
          <w:trHeight w:val="81"/>
        </w:trPr>
        <w:tc>
          <w:tcPr>
            <w:tcW w:w="1080" w:type="dxa"/>
            <w:vMerge w:val="restart"/>
            <w:shd w:val="clear" w:color="000000" w:fill="FFFFFF"/>
            <w:vAlign w:val="bottom"/>
          </w:tcPr>
          <w:p w:rsidR="007C5B6F" w:rsidRPr="00DA2ED9" w:rsidRDefault="007C5B6F" w:rsidP="008275BD">
            <w:pPr>
              <w:autoSpaceDE w:val="0"/>
              <w:autoSpaceDN w:val="0"/>
              <w:adjustRightInd w:val="0"/>
              <w:jc w:val="center"/>
              <w:rPr>
                <w:color w:val="000000"/>
              </w:rPr>
            </w:pPr>
            <w:r w:rsidRPr="00DA2ED9">
              <w:rPr>
                <w:color w:val="000000"/>
              </w:rPr>
              <w:t>Dukungan Keluarg</w:t>
            </w:r>
            <w:r>
              <w:rPr>
                <w:color w:val="000000"/>
              </w:rPr>
              <w:t>a</w:t>
            </w:r>
          </w:p>
        </w:tc>
        <w:tc>
          <w:tcPr>
            <w:tcW w:w="900" w:type="dxa"/>
            <w:vMerge w:val="restart"/>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Bai</w:t>
            </w:r>
            <w:r>
              <w:rPr>
                <w:color w:val="000000"/>
              </w:rPr>
              <w:t>k</w:t>
            </w: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13</w:t>
            </w:r>
          </w:p>
        </w:tc>
        <w:tc>
          <w:tcPr>
            <w:tcW w:w="72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6</w:t>
            </w: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19</w:t>
            </w:r>
          </w:p>
        </w:tc>
      </w:tr>
      <w:tr w:rsidR="007C5B6F" w:rsidRPr="00DA2ED9" w:rsidTr="008275BD">
        <w:trPr>
          <w:trHeight w:val="187"/>
        </w:trPr>
        <w:tc>
          <w:tcPr>
            <w:tcW w:w="1080" w:type="dxa"/>
            <w:vMerge/>
            <w:shd w:val="clear" w:color="000000" w:fill="FFFFFF"/>
          </w:tcPr>
          <w:p w:rsidR="007C5B6F" w:rsidRPr="00DA2ED9" w:rsidRDefault="007C5B6F" w:rsidP="008275BD">
            <w:pPr>
              <w:autoSpaceDE w:val="0"/>
              <w:autoSpaceDN w:val="0"/>
              <w:adjustRightInd w:val="0"/>
              <w:rPr>
                <w:color w:val="000000"/>
              </w:rPr>
            </w:pPr>
          </w:p>
        </w:tc>
        <w:tc>
          <w:tcPr>
            <w:tcW w:w="900" w:type="dxa"/>
            <w:vMerge/>
            <w:shd w:val="clear" w:color="000000" w:fill="FFFFFF"/>
          </w:tcPr>
          <w:p w:rsidR="007C5B6F" w:rsidRPr="00DA2ED9" w:rsidRDefault="007C5B6F" w:rsidP="008275BD">
            <w:pPr>
              <w:autoSpaceDE w:val="0"/>
              <w:autoSpaceDN w:val="0"/>
              <w:adjustRightInd w:val="0"/>
              <w:rPr>
                <w:color w:val="000000"/>
              </w:rPr>
            </w:pP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68.4%</w:t>
            </w:r>
          </w:p>
        </w:tc>
        <w:tc>
          <w:tcPr>
            <w:tcW w:w="72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31.6%</w:t>
            </w: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100.0%</w:t>
            </w:r>
          </w:p>
        </w:tc>
      </w:tr>
      <w:tr w:rsidR="007C5B6F" w:rsidRPr="00DA2ED9" w:rsidTr="008275BD">
        <w:trPr>
          <w:trHeight w:val="273"/>
        </w:trPr>
        <w:tc>
          <w:tcPr>
            <w:tcW w:w="1080" w:type="dxa"/>
            <w:vMerge/>
            <w:shd w:val="clear" w:color="000000" w:fill="FFFFFF"/>
          </w:tcPr>
          <w:p w:rsidR="007C5B6F" w:rsidRPr="00DA2ED9" w:rsidRDefault="007C5B6F" w:rsidP="008275BD">
            <w:pPr>
              <w:autoSpaceDE w:val="0"/>
              <w:autoSpaceDN w:val="0"/>
              <w:adjustRightInd w:val="0"/>
              <w:rPr>
                <w:color w:val="000000"/>
              </w:rPr>
            </w:pPr>
          </w:p>
        </w:tc>
        <w:tc>
          <w:tcPr>
            <w:tcW w:w="900" w:type="dxa"/>
            <w:vMerge w:val="restart"/>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Tidak Baik</w:t>
            </w: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10</w:t>
            </w:r>
          </w:p>
        </w:tc>
        <w:tc>
          <w:tcPr>
            <w:tcW w:w="72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12</w:t>
            </w: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22</w:t>
            </w:r>
          </w:p>
        </w:tc>
      </w:tr>
      <w:tr w:rsidR="007C5B6F" w:rsidRPr="00DA2ED9" w:rsidTr="008275BD">
        <w:trPr>
          <w:trHeight w:val="180"/>
        </w:trPr>
        <w:tc>
          <w:tcPr>
            <w:tcW w:w="1080" w:type="dxa"/>
            <w:vMerge/>
            <w:shd w:val="clear" w:color="000000" w:fill="FFFFFF"/>
          </w:tcPr>
          <w:p w:rsidR="007C5B6F" w:rsidRPr="00DA2ED9" w:rsidRDefault="007C5B6F" w:rsidP="008275BD">
            <w:pPr>
              <w:autoSpaceDE w:val="0"/>
              <w:autoSpaceDN w:val="0"/>
              <w:adjustRightInd w:val="0"/>
              <w:rPr>
                <w:color w:val="000000"/>
              </w:rPr>
            </w:pPr>
          </w:p>
        </w:tc>
        <w:tc>
          <w:tcPr>
            <w:tcW w:w="900" w:type="dxa"/>
            <w:vMerge/>
            <w:shd w:val="clear" w:color="000000" w:fill="FFFFFF"/>
          </w:tcPr>
          <w:p w:rsidR="007C5B6F" w:rsidRPr="00DA2ED9" w:rsidRDefault="007C5B6F" w:rsidP="008275BD">
            <w:pPr>
              <w:autoSpaceDE w:val="0"/>
              <w:autoSpaceDN w:val="0"/>
              <w:adjustRightInd w:val="0"/>
              <w:rPr>
                <w:color w:val="000000"/>
              </w:rPr>
            </w:pP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45.5%</w:t>
            </w:r>
          </w:p>
        </w:tc>
        <w:tc>
          <w:tcPr>
            <w:tcW w:w="72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54.5%</w:t>
            </w: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100.0%</w:t>
            </w:r>
          </w:p>
        </w:tc>
      </w:tr>
      <w:tr w:rsidR="007C5B6F" w:rsidRPr="00DA2ED9" w:rsidTr="008275BD">
        <w:trPr>
          <w:trHeight w:val="273"/>
        </w:trPr>
        <w:tc>
          <w:tcPr>
            <w:tcW w:w="1980" w:type="dxa"/>
            <w:gridSpan w:val="2"/>
            <w:vMerge w:val="restart"/>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Total</w:t>
            </w: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23</w:t>
            </w:r>
          </w:p>
        </w:tc>
        <w:tc>
          <w:tcPr>
            <w:tcW w:w="72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18</w:t>
            </w: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41</w:t>
            </w:r>
          </w:p>
        </w:tc>
      </w:tr>
      <w:tr w:rsidR="007C5B6F" w:rsidRPr="00DA2ED9" w:rsidTr="008275BD">
        <w:trPr>
          <w:trHeight w:val="230"/>
        </w:trPr>
        <w:tc>
          <w:tcPr>
            <w:tcW w:w="1980" w:type="dxa"/>
            <w:gridSpan w:val="2"/>
            <w:vMerge/>
            <w:shd w:val="clear" w:color="000000" w:fill="FFFFFF"/>
          </w:tcPr>
          <w:p w:rsidR="007C5B6F" w:rsidRPr="00DA2ED9" w:rsidRDefault="007C5B6F" w:rsidP="008275BD">
            <w:pPr>
              <w:autoSpaceDE w:val="0"/>
              <w:autoSpaceDN w:val="0"/>
              <w:adjustRightInd w:val="0"/>
              <w:rPr>
                <w:color w:val="000000"/>
              </w:rPr>
            </w:pP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56.1%</w:t>
            </w:r>
          </w:p>
        </w:tc>
        <w:tc>
          <w:tcPr>
            <w:tcW w:w="72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43.9%</w:t>
            </w:r>
          </w:p>
        </w:tc>
        <w:tc>
          <w:tcPr>
            <w:tcW w:w="810" w:type="dxa"/>
            <w:shd w:val="clear" w:color="000000" w:fill="FFFFFF"/>
            <w:vAlign w:val="center"/>
          </w:tcPr>
          <w:p w:rsidR="007C5B6F" w:rsidRPr="00DA2ED9" w:rsidRDefault="007C5B6F" w:rsidP="008275BD">
            <w:pPr>
              <w:autoSpaceDE w:val="0"/>
              <w:autoSpaceDN w:val="0"/>
              <w:adjustRightInd w:val="0"/>
              <w:jc w:val="center"/>
              <w:rPr>
                <w:color w:val="000000"/>
              </w:rPr>
            </w:pPr>
            <w:r w:rsidRPr="00DA2ED9">
              <w:rPr>
                <w:color w:val="000000"/>
              </w:rPr>
              <w:t>100.0%</w:t>
            </w:r>
          </w:p>
        </w:tc>
      </w:tr>
    </w:tbl>
    <w:p w:rsidR="007C5B6F" w:rsidRPr="001245B0" w:rsidRDefault="007C5B6F" w:rsidP="007C5B6F">
      <w:pPr>
        <w:jc w:val="both"/>
        <w:rPr>
          <w:sz w:val="24"/>
          <w:szCs w:val="24"/>
        </w:rPr>
      </w:pPr>
      <w:r w:rsidRPr="001245B0">
        <w:rPr>
          <w:sz w:val="24"/>
          <w:szCs w:val="24"/>
        </w:rPr>
        <w:t>Tabel 5 menunjukkan bahwa semakin baik dukungan keluarga maka semakin taat pola makan penderita DM dan sebaliknya.</w:t>
      </w:r>
    </w:p>
    <w:p w:rsidR="007C5B6F" w:rsidRPr="001245B0" w:rsidRDefault="007C5B6F" w:rsidP="007C5B6F">
      <w:pPr>
        <w:pStyle w:val="ListParagraph"/>
        <w:spacing w:after="0" w:line="240" w:lineRule="auto"/>
        <w:ind w:left="0"/>
        <w:jc w:val="both"/>
        <w:rPr>
          <w:rFonts w:ascii="Times New Roman" w:hAnsi="Times New Roman"/>
          <w:sz w:val="24"/>
          <w:szCs w:val="24"/>
        </w:rPr>
      </w:pPr>
      <w:r w:rsidRPr="001245B0">
        <w:rPr>
          <w:rFonts w:ascii="Times New Roman" w:hAnsi="Times New Roman"/>
          <w:sz w:val="24"/>
          <w:szCs w:val="24"/>
        </w:rPr>
        <w:t>Hasil uji Spearman’s rho didapat nilai p = 0,003 lebih kecil dari nilai α = 0,05 yang berarti ada hubungan antara dukungan keluarga dengan ketaatan pola makan penderita DM</w:t>
      </w:r>
    </w:p>
    <w:p w:rsidR="007C5B6F" w:rsidRPr="001245B0" w:rsidRDefault="007C5B6F" w:rsidP="007C5B6F">
      <w:pPr>
        <w:pStyle w:val="ListParagraph"/>
        <w:spacing w:after="0" w:line="240" w:lineRule="auto"/>
        <w:ind w:left="0"/>
        <w:jc w:val="both"/>
        <w:rPr>
          <w:rFonts w:ascii="Times New Roman" w:hAnsi="Times New Roman"/>
          <w:sz w:val="24"/>
          <w:szCs w:val="24"/>
        </w:rPr>
      </w:pPr>
    </w:p>
    <w:p w:rsidR="007C5B6F" w:rsidRPr="001245B0" w:rsidRDefault="007C5B6F" w:rsidP="007C5B6F">
      <w:pPr>
        <w:pStyle w:val="ListParagraph"/>
        <w:spacing w:after="0" w:line="240" w:lineRule="auto"/>
        <w:ind w:left="0"/>
        <w:rPr>
          <w:rFonts w:ascii="Times New Roman" w:hAnsi="Times New Roman"/>
          <w:b/>
          <w:sz w:val="24"/>
          <w:szCs w:val="24"/>
        </w:rPr>
      </w:pPr>
      <w:r w:rsidRPr="001245B0">
        <w:rPr>
          <w:rFonts w:ascii="Times New Roman" w:hAnsi="Times New Roman"/>
          <w:b/>
          <w:sz w:val="24"/>
          <w:szCs w:val="24"/>
        </w:rPr>
        <w:t>PEMBAHASAN</w:t>
      </w:r>
    </w:p>
    <w:p w:rsidR="007C5B6F" w:rsidRPr="001245B0" w:rsidRDefault="007C5B6F" w:rsidP="007C5B6F">
      <w:pPr>
        <w:autoSpaceDE w:val="0"/>
        <w:autoSpaceDN w:val="0"/>
        <w:adjustRightInd w:val="0"/>
        <w:ind w:firstLine="567"/>
        <w:jc w:val="both"/>
        <w:rPr>
          <w:rFonts w:eastAsia="ArialNarrow"/>
          <w:sz w:val="24"/>
          <w:szCs w:val="24"/>
        </w:rPr>
      </w:pPr>
      <w:r w:rsidRPr="001245B0">
        <w:rPr>
          <w:sz w:val="24"/>
          <w:szCs w:val="24"/>
        </w:rPr>
        <w:t xml:space="preserve">Hasil penelitian menunjukkan bahwa ada hubungan yang positif dan bermakna antara dukungan keluarga dengan ketaatan pola makan penderita Diabetes Mellitus yang ditunjukkan dengan hasil uji Spearman’s rho didapat nilai p = 0,003 lebih kecil dari nilai α = 0,05, dan pada tabel 4.11 yang menunjukkan bahwa semakin baik dukungan keluarga maka semakin taat pola makan penderita Diabetes Mellitus dan sebaliknya  </w:t>
      </w:r>
      <w:r w:rsidRPr="001245B0">
        <w:rPr>
          <w:rFonts w:eastAsia="ArialNarrow"/>
          <w:sz w:val="24"/>
          <w:szCs w:val="24"/>
        </w:rPr>
        <w:t xml:space="preserve">Hasil di atas sesuai dengan pernyataan Feuer Stein et al (1998) dalam Niven (2002) bahwaada beberapa faktor yang mempengaruhi kepatuhan pasien termasuk kepatuhan dalam melaksanakan program diet pada pasien DM yaitu: 1) </w:t>
      </w:r>
      <w:r w:rsidRPr="001245B0">
        <w:rPr>
          <w:rFonts w:eastAsia="ArialNarrow"/>
          <w:sz w:val="24"/>
          <w:szCs w:val="24"/>
        </w:rPr>
        <w:lastRenderedPageBreak/>
        <w:t>pemahaman tentang instruksi, 2) kualitas interaksi, 3) sikap dan kepribadian pasien dan 4) dukungan sosial keluarga</w:t>
      </w:r>
      <w:r w:rsidRPr="006D55C2">
        <w:rPr>
          <w:rFonts w:eastAsia="ArialNarrow"/>
          <w:sz w:val="24"/>
          <w:szCs w:val="24"/>
          <w:vertAlign w:val="superscript"/>
        </w:rPr>
        <w:t>4</w:t>
      </w:r>
      <w:r w:rsidRPr="001245B0">
        <w:rPr>
          <w:rFonts w:eastAsia="ArialNarrow"/>
          <w:sz w:val="24"/>
          <w:szCs w:val="24"/>
        </w:rPr>
        <w:t>. Hasil penelitian ini semakin menguatkan pendapat bahwa dukungan Sosial Keluarga  merupakan salah satu faktor yang memiliki hubungan yang sangat erat dengan kepatuhan  pasien dalam melaksanakan program diet. Dengan demikian dukungan sosial keluarga tidak  dapat diabaikan begitu saja, karena dukungan sosial keluarga merupakan salah satu dari  faktor yang memiliki kontribusi yang cukup berarti dan sebagai faktor penguat yang  mempengaruhi kepatuhan pasien DM. Mengingat DM merupakan penyakit kronis yang dapat  hilang timbul atau dapat kambuh kapan saja jika pasien tidak mengikuti program yang telah  ditetapkan oleh petugas kesehatan. Serta pengobatannyapun tidak cukup 1-2 bulan saja tetapi  butuh waktu yang lama dan penderita dalam hal ini pasien tidak bisa melakukannya sendiri. Efek dari dukungan sosial yang berasal dari keluarga terhadap kesehatan dan kesejahteraan berfungsi bersamaan. Secara lebih spesifik, keadaan dukungan sosial yang adekuat terbukti berhubungan dengan menurunnya mortalitas, lebih mudah sembuh dari sakit, fungsi kognitif, fisik dan kesehatan emosi. Di samping itu pengaruh positif dukungan social keluarga adalah pada penyesuaian terhadap kejadian dalam kehidupan yang penuh dengan stress (Friedman, 1998 dalam Anggina 2010)</w:t>
      </w:r>
      <w:r w:rsidRPr="006D55C2">
        <w:rPr>
          <w:rFonts w:eastAsia="ArialNarrow"/>
          <w:sz w:val="24"/>
          <w:szCs w:val="24"/>
          <w:vertAlign w:val="superscript"/>
        </w:rPr>
        <w:t>3</w:t>
      </w:r>
      <w:r w:rsidRPr="001245B0">
        <w:rPr>
          <w:rFonts w:eastAsia="ArialNarrow"/>
          <w:sz w:val="24"/>
          <w:szCs w:val="24"/>
        </w:rPr>
        <w:t xml:space="preserve">. </w:t>
      </w:r>
    </w:p>
    <w:p w:rsidR="007C5B6F" w:rsidRPr="001245B0" w:rsidRDefault="007C5B6F" w:rsidP="007C5B6F">
      <w:pPr>
        <w:autoSpaceDE w:val="0"/>
        <w:autoSpaceDN w:val="0"/>
        <w:adjustRightInd w:val="0"/>
        <w:ind w:firstLine="567"/>
        <w:jc w:val="both"/>
        <w:rPr>
          <w:rFonts w:eastAsia="ArialNarrow"/>
          <w:sz w:val="24"/>
          <w:szCs w:val="24"/>
        </w:rPr>
      </w:pPr>
      <w:r w:rsidRPr="001245B0">
        <w:rPr>
          <w:rFonts w:eastAsia="ArialNarrow"/>
          <w:sz w:val="24"/>
          <w:szCs w:val="24"/>
        </w:rPr>
        <w:t xml:space="preserve">Dukungan sosial keluarga sangat penting dalam meningkatkan dan menyemangati jika efek samping menjadi parah. Dukungan sosial dari keluarga berupa dukungan emosional diharapkan dapat membantu mengurangi ansietas yang disebabakan oleh komplikasi penyakit diabetes, mengingat diabetes merupakan penyakit yang dapat menimbulkan berbagai komplikasi penyakit yang berbahaya serta mengancam jiwa pasien yang menderita </w:t>
      </w:r>
      <w:r w:rsidRPr="001245B0">
        <w:rPr>
          <w:rFonts w:eastAsia="ArialNarrow"/>
          <w:sz w:val="24"/>
          <w:szCs w:val="24"/>
        </w:rPr>
        <w:lastRenderedPageBreak/>
        <w:t>penyakit ini. Sehingga anggota keluarga bisa dikatakan sebagai keluarga pendukung. Berkaitan dengan hal itu, maka perlu upaya untuk meningkatkan dukungan social keluarga yang positif lagi baik itu dukungan emosional, instrumental, informasional ataupun penilaian (</w:t>
      </w:r>
      <w:r w:rsidRPr="001245B0">
        <w:rPr>
          <w:rFonts w:eastAsia="ArialNarrow,Italic"/>
          <w:i/>
          <w:iCs/>
          <w:sz w:val="24"/>
          <w:szCs w:val="24"/>
        </w:rPr>
        <w:t>appraisal</w:t>
      </w:r>
      <w:r w:rsidRPr="001245B0">
        <w:rPr>
          <w:rFonts w:eastAsia="ArialNarrow"/>
          <w:sz w:val="24"/>
          <w:szCs w:val="24"/>
        </w:rPr>
        <w:t>) kepada pasien antara lain dengan mengikutsertakan keluarga dalam setiap program pengobatan, pada program penyuluhan dan pemantauan kad</w:t>
      </w:r>
      <w:r>
        <w:rPr>
          <w:rFonts w:eastAsia="ArialNarrow"/>
          <w:sz w:val="24"/>
          <w:szCs w:val="24"/>
        </w:rPr>
        <w:t>ar glukosa darah</w:t>
      </w:r>
      <w:r w:rsidRPr="006D55C2">
        <w:rPr>
          <w:rFonts w:eastAsia="ArialNarrow"/>
          <w:sz w:val="24"/>
          <w:szCs w:val="24"/>
          <w:vertAlign w:val="superscript"/>
        </w:rPr>
        <w:t>3</w:t>
      </w:r>
      <w:r w:rsidRPr="001245B0">
        <w:rPr>
          <w:rFonts w:eastAsia="ArialNarrow"/>
          <w:sz w:val="24"/>
          <w:szCs w:val="24"/>
        </w:rPr>
        <w:t>.</w:t>
      </w:r>
    </w:p>
    <w:p w:rsidR="007C5B6F" w:rsidRPr="001245B0" w:rsidRDefault="007C5B6F" w:rsidP="007C5B6F">
      <w:pPr>
        <w:autoSpaceDE w:val="0"/>
        <w:autoSpaceDN w:val="0"/>
        <w:adjustRightInd w:val="0"/>
        <w:ind w:firstLine="720"/>
        <w:jc w:val="both"/>
        <w:rPr>
          <w:rFonts w:eastAsia="ArialNarrow"/>
          <w:sz w:val="24"/>
          <w:szCs w:val="24"/>
        </w:rPr>
      </w:pPr>
    </w:p>
    <w:p w:rsidR="007C5B6F" w:rsidRPr="001245B0" w:rsidRDefault="007C5B6F" w:rsidP="007C5B6F">
      <w:pPr>
        <w:autoSpaceDE w:val="0"/>
        <w:autoSpaceDN w:val="0"/>
        <w:adjustRightInd w:val="0"/>
        <w:rPr>
          <w:b/>
          <w:sz w:val="24"/>
          <w:szCs w:val="24"/>
        </w:rPr>
      </w:pPr>
      <w:r w:rsidRPr="001245B0">
        <w:rPr>
          <w:b/>
          <w:sz w:val="24"/>
          <w:szCs w:val="24"/>
        </w:rPr>
        <w:t>KESIMPULAN</w:t>
      </w:r>
    </w:p>
    <w:p w:rsidR="007C5B6F" w:rsidRPr="001245B0" w:rsidRDefault="007C5B6F" w:rsidP="007C5B6F">
      <w:pPr>
        <w:pStyle w:val="ListParagraph"/>
        <w:numPr>
          <w:ilvl w:val="0"/>
          <w:numId w:val="22"/>
        </w:numPr>
        <w:spacing w:after="0" w:line="240" w:lineRule="auto"/>
        <w:ind w:left="360"/>
        <w:jc w:val="both"/>
        <w:rPr>
          <w:rFonts w:ascii="Times New Roman" w:hAnsi="Times New Roman"/>
          <w:sz w:val="24"/>
          <w:szCs w:val="24"/>
        </w:rPr>
      </w:pPr>
      <w:r w:rsidRPr="001245B0">
        <w:rPr>
          <w:rFonts w:ascii="Times New Roman" w:hAnsi="Times New Roman"/>
          <w:sz w:val="24"/>
          <w:szCs w:val="24"/>
        </w:rPr>
        <w:t>Dukungan keluarga pada responden hampir setengahnya berkategori  baik yaitu sebanyak 46,3 %.</w:t>
      </w:r>
    </w:p>
    <w:p w:rsidR="007C5B6F" w:rsidRPr="001245B0" w:rsidRDefault="007C5B6F" w:rsidP="007C5B6F">
      <w:pPr>
        <w:pStyle w:val="ListParagraph"/>
        <w:numPr>
          <w:ilvl w:val="0"/>
          <w:numId w:val="22"/>
        </w:numPr>
        <w:spacing w:after="0" w:line="240" w:lineRule="auto"/>
        <w:ind w:left="360"/>
        <w:jc w:val="both"/>
        <w:rPr>
          <w:rFonts w:ascii="Times New Roman" w:hAnsi="Times New Roman"/>
          <w:sz w:val="24"/>
          <w:szCs w:val="24"/>
        </w:rPr>
      </w:pPr>
      <w:r w:rsidRPr="001245B0">
        <w:rPr>
          <w:rFonts w:ascii="Times New Roman" w:hAnsi="Times New Roman"/>
          <w:sz w:val="24"/>
          <w:szCs w:val="24"/>
        </w:rPr>
        <w:t>Responden  yang taat dalam pola makan mempunyai persentase yang lebih banyak yaitu 56,1 %.</w:t>
      </w:r>
    </w:p>
    <w:p w:rsidR="007C5B6F" w:rsidRPr="001245B0" w:rsidRDefault="007C5B6F" w:rsidP="007C5B6F">
      <w:pPr>
        <w:pStyle w:val="ListParagraph"/>
        <w:numPr>
          <w:ilvl w:val="0"/>
          <w:numId w:val="22"/>
        </w:numPr>
        <w:spacing w:after="0" w:line="240" w:lineRule="auto"/>
        <w:ind w:left="360"/>
        <w:jc w:val="both"/>
        <w:rPr>
          <w:rFonts w:ascii="Times New Roman" w:hAnsi="Times New Roman"/>
          <w:sz w:val="24"/>
          <w:szCs w:val="24"/>
        </w:rPr>
      </w:pPr>
      <w:r w:rsidRPr="001245B0">
        <w:rPr>
          <w:rFonts w:ascii="Times New Roman" w:hAnsi="Times New Roman"/>
          <w:sz w:val="24"/>
          <w:szCs w:val="24"/>
        </w:rPr>
        <w:t>Ada hubungan yang positif dan bermakna antara dukungan keluarga dengan ketaatan pola makan penderita Diabetes Mellitus yang ditunjukkan dengan hasil uji Spearman’s rho didapat nilai p = 0,003 lebih kecil dari nilai α = 0,05</w:t>
      </w:r>
    </w:p>
    <w:p w:rsidR="007C5B6F" w:rsidRPr="001245B0" w:rsidRDefault="007C5B6F" w:rsidP="007C5B6F">
      <w:pPr>
        <w:autoSpaceDE w:val="0"/>
        <w:autoSpaceDN w:val="0"/>
        <w:adjustRightInd w:val="0"/>
        <w:jc w:val="both"/>
        <w:rPr>
          <w:sz w:val="24"/>
          <w:szCs w:val="24"/>
        </w:rPr>
      </w:pPr>
    </w:p>
    <w:p w:rsidR="007C5B6F" w:rsidRPr="001245B0" w:rsidRDefault="007C5B6F" w:rsidP="007C5B6F">
      <w:pPr>
        <w:rPr>
          <w:b/>
          <w:sz w:val="24"/>
          <w:szCs w:val="24"/>
        </w:rPr>
      </w:pPr>
      <w:r w:rsidRPr="001245B0">
        <w:rPr>
          <w:b/>
          <w:sz w:val="24"/>
          <w:szCs w:val="24"/>
        </w:rPr>
        <w:t>SARAN</w:t>
      </w:r>
    </w:p>
    <w:p w:rsidR="007C5B6F" w:rsidRPr="001245B0" w:rsidRDefault="007C5B6F" w:rsidP="007C5B6F">
      <w:pPr>
        <w:pStyle w:val="ListParagraph"/>
        <w:numPr>
          <w:ilvl w:val="0"/>
          <w:numId w:val="23"/>
        </w:numPr>
        <w:autoSpaceDE w:val="0"/>
        <w:autoSpaceDN w:val="0"/>
        <w:adjustRightInd w:val="0"/>
        <w:spacing w:after="0" w:line="240" w:lineRule="auto"/>
        <w:ind w:left="360"/>
        <w:jc w:val="both"/>
        <w:rPr>
          <w:rFonts w:ascii="Times New Roman" w:eastAsia="ArialNarrow" w:hAnsi="Times New Roman"/>
          <w:sz w:val="24"/>
          <w:szCs w:val="24"/>
        </w:rPr>
      </w:pPr>
      <w:r w:rsidRPr="001245B0">
        <w:rPr>
          <w:rFonts w:ascii="Times New Roman" w:eastAsia="ArialNarrow" w:hAnsi="Times New Roman"/>
          <w:sz w:val="24"/>
          <w:szCs w:val="24"/>
        </w:rPr>
        <w:t>Bagi Puskesmas, dalam memberikan pelayanan kesehatan, petugas diharapkan dapat meningkatkan kualitas pelayanan dengan memperbaiki metode, media ataupun cara penyampaian informasi yang akan diberikan kepada pasien khususnya tentang gambaran seberapa besar manfaat dukungan sosial keluarga terhadap kepatuhan pasien dalam melaksanakan program diet, sehingga petugas dapat mempertimbangkan keterlibatan keluarga dalam melaksanakan program penatalaksanaan pengobatan, meningkatkan keterlibatan keluarga pasien Diabetes Mellitus dalam setiap program pengobatan dan perawatan.</w:t>
      </w:r>
    </w:p>
    <w:p w:rsidR="007C5B6F" w:rsidRPr="001245B0" w:rsidRDefault="007C5B6F" w:rsidP="007C5B6F">
      <w:pPr>
        <w:pStyle w:val="ListParagraph"/>
        <w:numPr>
          <w:ilvl w:val="0"/>
          <w:numId w:val="23"/>
        </w:numPr>
        <w:tabs>
          <w:tab w:val="left" w:pos="360"/>
        </w:tabs>
        <w:autoSpaceDE w:val="0"/>
        <w:autoSpaceDN w:val="0"/>
        <w:adjustRightInd w:val="0"/>
        <w:spacing w:after="0" w:line="240" w:lineRule="auto"/>
        <w:ind w:left="360"/>
        <w:jc w:val="both"/>
        <w:rPr>
          <w:rFonts w:ascii="Times New Roman" w:eastAsia="ArialNarrow" w:hAnsi="Times New Roman"/>
          <w:sz w:val="24"/>
          <w:szCs w:val="24"/>
        </w:rPr>
      </w:pPr>
      <w:r w:rsidRPr="001245B0">
        <w:rPr>
          <w:rFonts w:ascii="Times New Roman" w:eastAsia="ArialNarrow" w:hAnsi="Times New Roman"/>
          <w:sz w:val="24"/>
          <w:szCs w:val="24"/>
        </w:rPr>
        <w:lastRenderedPageBreak/>
        <w:t xml:space="preserve">Bagi Keluarga, dalam menunjang ketaatan pasien dalam melaksanakan program diet (pola makan), agar keluarga ikut serta mendorong klien tetap patuh untuk menjaga dietnya sehingga nilai glukosa darahnya dapat tetap dipertahankan dan terkontrol dengan baik. </w:t>
      </w:r>
    </w:p>
    <w:p w:rsidR="007C5B6F" w:rsidRDefault="007C5B6F" w:rsidP="007C5B6F">
      <w:pPr>
        <w:pStyle w:val="ListParagraph"/>
        <w:numPr>
          <w:ilvl w:val="0"/>
          <w:numId w:val="23"/>
        </w:numPr>
        <w:tabs>
          <w:tab w:val="left" w:pos="0"/>
        </w:tabs>
        <w:autoSpaceDE w:val="0"/>
        <w:autoSpaceDN w:val="0"/>
        <w:adjustRightInd w:val="0"/>
        <w:spacing w:after="0" w:line="240" w:lineRule="auto"/>
        <w:ind w:left="360"/>
        <w:jc w:val="both"/>
        <w:rPr>
          <w:rFonts w:ascii="Times New Roman" w:eastAsia="ArialNarrow" w:hAnsi="Times New Roman"/>
          <w:sz w:val="24"/>
          <w:szCs w:val="24"/>
        </w:rPr>
      </w:pPr>
      <w:r w:rsidRPr="001245B0">
        <w:rPr>
          <w:rFonts w:ascii="Times New Roman" w:eastAsia="ArialNarrow" w:hAnsi="Times New Roman"/>
          <w:sz w:val="24"/>
          <w:szCs w:val="24"/>
        </w:rPr>
        <w:t xml:space="preserve">Bagi Pasien, untuk senantiasa meningkatkan ketaatan dalam program pengobatan dan pengelolaan diit (pola makan) sehingga glukosa darah bisa terkontrol dan dapat dipertahankan dalam batas yang normal. </w:t>
      </w:r>
    </w:p>
    <w:p w:rsidR="007C5B6F" w:rsidRDefault="007C5B6F" w:rsidP="007C5B6F">
      <w:pPr>
        <w:tabs>
          <w:tab w:val="left" w:pos="0"/>
        </w:tabs>
        <w:autoSpaceDE w:val="0"/>
        <w:autoSpaceDN w:val="0"/>
        <w:adjustRightInd w:val="0"/>
        <w:jc w:val="both"/>
        <w:rPr>
          <w:sz w:val="24"/>
          <w:szCs w:val="24"/>
        </w:rPr>
      </w:pPr>
    </w:p>
    <w:p w:rsidR="007C5B6F" w:rsidRPr="00DA2ED9" w:rsidRDefault="007C5B6F" w:rsidP="007C5B6F">
      <w:pPr>
        <w:tabs>
          <w:tab w:val="left" w:pos="0"/>
        </w:tabs>
        <w:autoSpaceDE w:val="0"/>
        <w:autoSpaceDN w:val="0"/>
        <w:adjustRightInd w:val="0"/>
        <w:jc w:val="both"/>
        <w:rPr>
          <w:rFonts w:eastAsia="ArialNarrow"/>
          <w:b/>
          <w:sz w:val="24"/>
          <w:szCs w:val="24"/>
        </w:rPr>
      </w:pPr>
      <w:r w:rsidRPr="00DA2ED9">
        <w:rPr>
          <w:b/>
          <w:sz w:val="24"/>
          <w:szCs w:val="24"/>
        </w:rPr>
        <w:t>DAFTAR PUSTAKA</w:t>
      </w:r>
    </w:p>
    <w:p w:rsidR="007C5B6F" w:rsidRDefault="007C5B6F" w:rsidP="007C5B6F">
      <w:pPr>
        <w:pStyle w:val="ListParagraph"/>
        <w:numPr>
          <w:ilvl w:val="0"/>
          <w:numId w:val="24"/>
        </w:numPr>
        <w:spacing w:after="0" w:line="240" w:lineRule="auto"/>
        <w:ind w:left="426"/>
        <w:jc w:val="both"/>
        <w:rPr>
          <w:rFonts w:ascii="Times New Roman" w:eastAsia="Calibri" w:hAnsi="Times New Roman"/>
          <w:w w:val="106"/>
          <w:position w:val="-3"/>
          <w:sz w:val="24"/>
          <w:szCs w:val="24"/>
        </w:rPr>
      </w:pPr>
      <w:r w:rsidRPr="00DA2ED9">
        <w:rPr>
          <w:rFonts w:ascii="Times New Roman" w:eastAsia="ArnoPro-Regular" w:hAnsi="Times New Roman"/>
          <w:sz w:val="24"/>
          <w:szCs w:val="24"/>
        </w:rPr>
        <w:t xml:space="preserve">Almatsier, A, 2004, </w:t>
      </w:r>
      <w:r w:rsidRPr="00DA2ED9">
        <w:rPr>
          <w:rFonts w:ascii="Times New Roman" w:eastAsia="ArnoPro-Regular" w:hAnsi="Times New Roman"/>
          <w:i/>
          <w:iCs/>
          <w:sz w:val="24"/>
          <w:szCs w:val="24"/>
        </w:rPr>
        <w:t>Prinsip Dasar Ilmu Gizi</w:t>
      </w:r>
      <w:r w:rsidRPr="00DA2ED9">
        <w:rPr>
          <w:rFonts w:ascii="Times New Roman" w:eastAsia="ArnoPro-Regular" w:hAnsi="Times New Roman"/>
          <w:sz w:val="24"/>
          <w:szCs w:val="24"/>
        </w:rPr>
        <w:t>, Gramdia Pustaka Utama, Jakarta</w:t>
      </w:r>
      <w:r w:rsidRPr="006D55C2">
        <w:rPr>
          <w:rFonts w:ascii="Times New Roman" w:eastAsia="Calibri" w:hAnsi="Times New Roman"/>
          <w:w w:val="106"/>
          <w:position w:val="-3"/>
          <w:sz w:val="24"/>
          <w:szCs w:val="24"/>
          <w:lang w:val="id-ID"/>
        </w:rPr>
        <w:t xml:space="preserve"> </w:t>
      </w:r>
    </w:p>
    <w:p w:rsidR="007C5B6F" w:rsidRPr="00DA2ED9" w:rsidRDefault="007C5B6F" w:rsidP="007C5B6F">
      <w:pPr>
        <w:pStyle w:val="ListParagraph"/>
        <w:numPr>
          <w:ilvl w:val="0"/>
          <w:numId w:val="24"/>
        </w:numPr>
        <w:spacing w:after="0" w:line="240" w:lineRule="auto"/>
        <w:ind w:left="426"/>
        <w:jc w:val="both"/>
        <w:rPr>
          <w:rFonts w:ascii="Times New Roman" w:eastAsia="Calibri" w:hAnsi="Times New Roman"/>
          <w:w w:val="106"/>
          <w:position w:val="-3"/>
          <w:sz w:val="24"/>
          <w:szCs w:val="24"/>
        </w:rPr>
      </w:pPr>
      <w:r w:rsidRPr="00DA2ED9">
        <w:rPr>
          <w:rFonts w:ascii="Times New Roman" w:eastAsia="Calibri" w:hAnsi="Times New Roman"/>
          <w:w w:val="106"/>
          <w:position w:val="-3"/>
          <w:sz w:val="24"/>
          <w:szCs w:val="24"/>
          <w:lang w:val="id-ID"/>
        </w:rPr>
        <w:t xml:space="preserve">Arsana, P.M., Sutjiati, E., Lestari, D.P. 2011. </w:t>
      </w:r>
      <w:r w:rsidRPr="00DA2ED9">
        <w:rPr>
          <w:rFonts w:ascii="Times New Roman" w:eastAsia="Calibri" w:hAnsi="Times New Roman"/>
          <w:bCs/>
          <w:w w:val="106"/>
          <w:position w:val="-3"/>
          <w:sz w:val="24"/>
          <w:szCs w:val="24"/>
        </w:rPr>
        <w:t xml:space="preserve">Pengaruh Penyuluhan Gizi Terhadap </w:t>
      </w:r>
      <w:r w:rsidRPr="00DA2ED9">
        <w:rPr>
          <w:rFonts w:ascii="Times New Roman" w:eastAsia="Calibri" w:hAnsi="Times New Roman"/>
          <w:bCs/>
          <w:w w:val="106"/>
          <w:position w:val="-3"/>
          <w:sz w:val="24"/>
          <w:szCs w:val="24"/>
          <w:lang w:val="id-ID"/>
        </w:rPr>
        <w:t xml:space="preserve">Kepatuhan Diet Pasien Diabetes Mellitus </w:t>
      </w:r>
      <w:r w:rsidRPr="00DA2ED9">
        <w:rPr>
          <w:rFonts w:ascii="Times New Roman" w:eastAsia="Calibri" w:hAnsi="Times New Roman"/>
          <w:bCs/>
          <w:w w:val="106"/>
          <w:position w:val="-3"/>
          <w:sz w:val="24"/>
          <w:szCs w:val="24"/>
        </w:rPr>
        <w:t xml:space="preserve"> </w:t>
      </w:r>
      <w:r w:rsidRPr="00DA2ED9">
        <w:rPr>
          <w:rFonts w:ascii="Times New Roman" w:eastAsia="Calibri" w:hAnsi="Times New Roman"/>
          <w:bCs/>
          <w:w w:val="106"/>
          <w:position w:val="-3"/>
          <w:sz w:val="24"/>
          <w:szCs w:val="24"/>
          <w:lang w:val="id-ID"/>
        </w:rPr>
        <w:t xml:space="preserve">Di Poli Gizi RSU Dr. Saiful Anwar Malang. </w:t>
      </w:r>
      <w:r w:rsidRPr="00DA2ED9">
        <w:rPr>
          <w:rFonts w:ascii="Times New Roman" w:eastAsia="Calibri" w:hAnsi="Times New Roman"/>
          <w:i/>
          <w:w w:val="106"/>
          <w:position w:val="-3"/>
          <w:sz w:val="24"/>
          <w:szCs w:val="24"/>
        </w:rPr>
        <w:t>Majalah Kesehatan FKUB</w:t>
      </w:r>
      <w:r w:rsidRPr="00DA2ED9">
        <w:rPr>
          <w:rFonts w:ascii="Times New Roman" w:eastAsia="Calibri" w:hAnsi="Times New Roman"/>
          <w:w w:val="106"/>
          <w:position w:val="-3"/>
          <w:sz w:val="24"/>
          <w:szCs w:val="24"/>
          <w:lang w:val="id-ID"/>
        </w:rPr>
        <w:t>.</w:t>
      </w:r>
    </w:p>
    <w:p w:rsidR="007C5B6F" w:rsidRPr="006D55C2" w:rsidRDefault="007C5B6F" w:rsidP="007C5B6F">
      <w:pPr>
        <w:pStyle w:val="ListParagraph"/>
        <w:numPr>
          <w:ilvl w:val="0"/>
          <w:numId w:val="24"/>
        </w:numPr>
        <w:spacing w:after="0" w:line="240" w:lineRule="auto"/>
        <w:ind w:left="426"/>
        <w:jc w:val="both"/>
        <w:rPr>
          <w:rFonts w:ascii="Times New Roman" w:eastAsia="ArnoPro-Regular" w:hAnsi="Times New Roman"/>
          <w:sz w:val="24"/>
          <w:szCs w:val="24"/>
        </w:rPr>
      </w:pPr>
      <w:r w:rsidRPr="006D55C2">
        <w:rPr>
          <w:rFonts w:ascii="Times New Roman" w:hAnsi="Times New Roman"/>
          <w:sz w:val="24"/>
          <w:szCs w:val="24"/>
        </w:rPr>
        <w:t>Anggina,  Ali dan Pandit (2010) Hubungan antara Dukungan Sosial Keluarga dengan kepatuhan pasien Diabetes Mellitus dalam melaksanakan Program Diet di Poli Penyakit Dalam RSUD Cibabat Cimahi, Jurnal Penelitian Kesehatan Suara Forikes, ISSN 2086 – 3098.</w:t>
      </w:r>
    </w:p>
    <w:p w:rsidR="007C5B6F" w:rsidRPr="00DA2ED9" w:rsidRDefault="007C5B6F" w:rsidP="007C5B6F">
      <w:pPr>
        <w:pStyle w:val="Title"/>
        <w:numPr>
          <w:ilvl w:val="0"/>
          <w:numId w:val="24"/>
        </w:numPr>
        <w:ind w:left="426"/>
        <w:jc w:val="both"/>
        <w:rPr>
          <w:rFonts w:ascii="Times New Roman" w:hAnsi="Times New Roman"/>
          <w:b w:val="0"/>
          <w:szCs w:val="24"/>
        </w:rPr>
      </w:pPr>
      <w:r w:rsidRPr="00DA2ED9">
        <w:rPr>
          <w:rFonts w:ascii="Times New Roman" w:eastAsia="ArnoPro-Regular" w:hAnsi="Times New Roman"/>
          <w:b w:val="0"/>
          <w:szCs w:val="24"/>
        </w:rPr>
        <w:t xml:space="preserve">Niven N, (2002), </w:t>
      </w:r>
      <w:r w:rsidRPr="00DA2ED9">
        <w:rPr>
          <w:rFonts w:ascii="Times New Roman" w:eastAsia="ArnoPro-Regular" w:hAnsi="Times New Roman"/>
          <w:b w:val="0"/>
          <w:i/>
          <w:iCs/>
          <w:szCs w:val="24"/>
        </w:rPr>
        <w:t>Psikologi Kesehatan, Rhineka Cipta</w:t>
      </w:r>
      <w:r w:rsidRPr="00DA2ED9">
        <w:rPr>
          <w:rFonts w:ascii="Times New Roman" w:eastAsia="ArnoPro-Regular" w:hAnsi="Times New Roman"/>
          <w:b w:val="0"/>
          <w:szCs w:val="24"/>
        </w:rPr>
        <w:t>, Jakarta</w:t>
      </w:r>
    </w:p>
    <w:p w:rsidR="007C5B6F" w:rsidRPr="00C57671" w:rsidRDefault="007C5B6F" w:rsidP="007C5B6F">
      <w:pPr>
        <w:pStyle w:val="Title"/>
        <w:numPr>
          <w:ilvl w:val="0"/>
          <w:numId w:val="24"/>
        </w:numPr>
        <w:ind w:left="426"/>
        <w:jc w:val="both"/>
        <w:rPr>
          <w:rFonts w:ascii="Times New Roman" w:hAnsi="Times New Roman"/>
          <w:b w:val="0"/>
          <w:szCs w:val="24"/>
        </w:rPr>
      </w:pPr>
      <w:r w:rsidRPr="00DA2ED9">
        <w:rPr>
          <w:rFonts w:ascii="Times New Roman" w:eastAsia="ArnoPro-Regular" w:hAnsi="Times New Roman"/>
          <w:b w:val="0"/>
          <w:szCs w:val="24"/>
        </w:rPr>
        <w:t xml:space="preserve">Waspadji, S, (2007), </w:t>
      </w:r>
      <w:r w:rsidRPr="00DA2ED9">
        <w:rPr>
          <w:rFonts w:ascii="Times New Roman" w:eastAsia="ArnoPro-Regular" w:hAnsi="Times New Roman"/>
          <w:b w:val="0"/>
          <w:i/>
          <w:iCs/>
          <w:szCs w:val="24"/>
        </w:rPr>
        <w:t xml:space="preserve">Penatalaksanaan DM terpadu, </w:t>
      </w:r>
      <w:r w:rsidRPr="00DA2ED9">
        <w:rPr>
          <w:rFonts w:ascii="Times New Roman" w:eastAsia="ArnoPro-Regular" w:hAnsi="Times New Roman"/>
          <w:b w:val="0"/>
          <w:szCs w:val="24"/>
        </w:rPr>
        <w:t>Fakultas Kedokteran Universitas Indonesia, Jakarta</w:t>
      </w:r>
      <w:r>
        <w:rPr>
          <w:rFonts w:ascii="Times New Roman" w:eastAsia="ArnoPro-Regular" w:hAnsi="Times New Roman"/>
          <w:b w:val="0"/>
          <w:szCs w:val="24"/>
        </w:rPr>
        <w:t>.</w:t>
      </w:r>
    </w:p>
    <w:p w:rsidR="00197D6D" w:rsidRPr="007C5B6F" w:rsidRDefault="00197D6D" w:rsidP="007C5B6F"/>
    <w:sectPr w:rsidR="00197D6D" w:rsidRPr="007C5B6F" w:rsidSect="007C5B6F">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A79" w:rsidRDefault="00136A79" w:rsidP="00115D72">
      <w:r>
        <w:separator/>
      </w:r>
    </w:p>
  </w:endnote>
  <w:endnote w:type="continuationSeparator" w:id="1">
    <w:p w:rsidR="00136A79" w:rsidRDefault="00136A79" w:rsidP="00115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Narrow">
    <w:altName w:val="MS Mincho"/>
    <w:panose1 w:val="00000000000000000000"/>
    <w:charset w:val="80"/>
    <w:family w:val="auto"/>
    <w:notTrueType/>
    <w:pitch w:val="default"/>
    <w:sig w:usb0="00000003" w:usb1="08070000" w:usb2="00000010" w:usb3="00000000" w:csb0="00020001" w:csb1="00000000"/>
  </w:font>
  <w:font w:name="ArnoPro-Regular">
    <w:altName w:val="MS Mincho"/>
    <w:panose1 w:val="00000000000000000000"/>
    <w:charset w:val="80"/>
    <w:family w:val="auto"/>
    <w:notTrueType/>
    <w:pitch w:val="default"/>
    <w:sig w:usb0="00000001" w:usb1="08070000" w:usb2="00000010" w:usb3="00000000" w:csb0="00020000" w:csb1="00000000"/>
  </w:font>
  <w:font w:name="ArialNarrow,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D351AE" w:rsidP="00697A91">
    <w:pPr>
      <w:pStyle w:val="Footer"/>
      <w:framePr w:wrap="around" w:vAnchor="text" w:hAnchor="margin" w:xAlign="right" w:y="1"/>
      <w:rPr>
        <w:rStyle w:val="PageNumber"/>
      </w:rPr>
    </w:pPr>
    <w:r>
      <w:rPr>
        <w:rStyle w:val="PageNumber"/>
      </w:rPr>
      <w:fldChar w:fldCharType="begin"/>
    </w:r>
    <w:r w:rsidR="002209D2">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2209D2" w:rsidP="00697A91">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2 </w:t>
    </w:r>
    <w:r w:rsidRPr="005C3FF2">
      <w:rPr>
        <w:i/>
      </w:rPr>
      <w:t>Tahun 201</w:t>
    </w:r>
    <w:r>
      <w:rPr>
        <w:i/>
      </w:rPr>
      <w:t>4</w:t>
    </w:r>
  </w:p>
  <w:p w:rsidR="009310F3" w:rsidRDefault="002209D2" w:rsidP="00697A9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p>
  <w:p w:rsidR="009310F3" w:rsidRPr="008523A4" w:rsidRDefault="002209D2" w:rsidP="00697A91">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A79" w:rsidRDefault="00136A79" w:rsidP="00115D72">
      <w:r>
        <w:separator/>
      </w:r>
    </w:p>
  </w:footnote>
  <w:footnote w:type="continuationSeparator" w:id="1">
    <w:p w:rsidR="00136A79" w:rsidRDefault="00136A79" w:rsidP="00115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F3" w:rsidRDefault="002209D2" w:rsidP="00697A91">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9310F3" w:rsidRDefault="00136A79" w:rsidP="00697A91">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25EB"/>
    <w:multiLevelType w:val="hybridMultilevel"/>
    <w:tmpl w:val="C4101E0C"/>
    <w:lvl w:ilvl="0" w:tplc="04210015">
      <w:start w:val="1"/>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44112"/>
    <w:multiLevelType w:val="hybridMultilevel"/>
    <w:tmpl w:val="E676F36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772C8"/>
    <w:multiLevelType w:val="hybridMultilevel"/>
    <w:tmpl w:val="829E6CF2"/>
    <w:lvl w:ilvl="0" w:tplc="0F28E6E2">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25FC3"/>
    <w:multiLevelType w:val="hybridMultilevel"/>
    <w:tmpl w:val="F7D8A5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D8235A"/>
    <w:multiLevelType w:val="hybridMultilevel"/>
    <w:tmpl w:val="BAEA22F6"/>
    <w:lvl w:ilvl="0" w:tplc="7B8AFD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81A5BB8"/>
    <w:multiLevelType w:val="hybridMultilevel"/>
    <w:tmpl w:val="33B4047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964AF"/>
    <w:multiLevelType w:val="hybridMultilevel"/>
    <w:tmpl w:val="11FAE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FF35B6F"/>
    <w:multiLevelType w:val="hybridMultilevel"/>
    <w:tmpl w:val="1C7E55BA"/>
    <w:lvl w:ilvl="0" w:tplc="BA085B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A35F4"/>
    <w:multiLevelType w:val="hybridMultilevel"/>
    <w:tmpl w:val="001A202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465E9E"/>
    <w:multiLevelType w:val="hybridMultilevel"/>
    <w:tmpl w:val="62388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836CA"/>
    <w:multiLevelType w:val="hybridMultilevel"/>
    <w:tmpl w:val="5C105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DFA3545"/>
    <w:multiLevelType w:val="hybridMultilevel"/>
    <w:tmpl w:val="C150A748"/>
    <w:lvl w:ilvl="0" w:tplc="234A3AC0">
      <w:start w:val="2"/>
      <w:numFmt w:val="decimal"/>
      <w:lvlText w:val="%1."/>
      <w:lvlJc w:val="left"/>
      <w:pPr>
        <w:ind w:left="360"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nsid w:val="55F15468"/>
    <w:multiLevelType w:val="hybridMultilevel"/>
    <w:tmpl w:val="C17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3E5778"/>
    <w:multiLevelType w:val="hybridMultilevel"/>
    <w:tmpl w:val="3AF40D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B2B0D32"/>
    <w:multiLevelType w:val="hybridMultilevel"/>
    <w:tmpl w:val="F3BAB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FC1D18"/>
    <w:multiLevelType w:val="hybridMultilevel"/>
    <w:tmpl w:val="EDD2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516122"/>
    <w:multiLevelType w:val="hybridMultilevel"/>
    <w:tmpl w:val="332A2A1A"/>
    <w:lvl w:ilvl="0" w:tplc="E084AA9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1002F5"/>
    <w:multiLevelType w:val="hybridMultilevel"/>
    <w:tmpl w:val="90D0075C"/>
    <w:lvl w:ilvl="0" w:tplc="DC18410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32196C"/>
    <w:multiLevelType w:val="hybridMultilevel"/>
    <w:tmpl w:val="A48ABDCE"/>
    <w:lvl w:ilvl="0" w:tplc="3E5CDC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65E9A"/>
    <w:multiLevelType w:val="hybridMultilevel"/>
    <w:tmpl w:val="FAB0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B23A59"/>
    <w:multiLevelType w:val="hybridMultilevel"/>
    <w:tmpl w:val="0B284854"/>
    <w:lvl w:ilvl="0" w:tplc="EC68E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9EF0BCD"/>
    <w:multiLevelType w:val="hybridMultilevel"/>
    <w:tmpl w:val="C86082A2"/>
    <w:lvl w:ilvl="0" w:tplc="902A0E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5428FD"/>
    <w:multiLevelType w:val="hybridMultilevel"/>
    <w:tmpl w:val="A56CAA26"/>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E9D243F"/>
    <w:multiLevelType w:val="hybridMultilevel"/>
    <w:tmpl w:val="57EA1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6"/>
  </w:num>
  <w:num w:numId="4">
    <w:abstractNumId w:val="10"/>
  </w:num>
  <w:num w:numId="5">
    <w:abstractNumId w:val="1"/>
  </w:num>
  <w:num w:numId="6">
    <w:abstractNumId w:val="19"/>
  </w:num>
  <w:num w:numId="7">
    <w:abstractNumId w:val="4"/>
  </w:num>
  <w:num w:numId="8">
    <w:abstractNumId w:val="12"/>
  </w:num>
  <w:num w:numId="9">
    <w:abstractNumId w:val="6"/>
  </w:num>
  <w:num w:numId="10">
    <w:abstractNumId w:val="5"/>
  </w:num>
  <w:num w:numId="11">
    <w:abstractNumId w:val="13"/>
  </w:num>
  <w:num w:numId="12">
    <w:abstractNumId w:val="22"/>
  </w:num>
  <w:num w:numId="13">
    <w:abstractNumId w:val="8"/>
  </w:num>
  <w:num w:numId="14">
    <w:abstractNumId w:val="23"/>
  </w:num>
  <w:num w:numId="15">
    <w:abstractNumId w:val="3"/>
  </w:num>
  <w:num w:numId="16">
    <w:abstractNumId w:val="9"/>
  </w:num>
  <w:num w:numId="17">
    <w:abstractNumId w:val="18"/>
  </w:num>
  <w:num w:numId="18">
    <w:abstractNumId w:val="7"/>
  </w:num>
  <w:num w:numId="19">
    <w:abstractNumId w:val="21"/>
  </w:num>
  <w:num w:numId="20">
    <w:abstractNumId w:val="11"/>
  </w:num>
  <w:num w:numId="21">
    <w:abstractNumId w:val="2"/>
  </w:num>
  <w:num w:numId="22">
    <w:abstractNumId w:val="20"/>
  </w:num>
  <w:num w:numId="23">
    <w:abstractNumId w:val="17"/>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296252"/>
    <w:rsid w:val="00115D72"/>
    <w:rsid w:val="00136A79"/>
    <w:rsid w:val="00197D6D"/>
    <w:rsid w:val="002209D2"/>
    <w:rsid w:val="00296252"/>
    <w:rsid w:val="00504BE0"/>
    <w:rsid w:val="00584B2E"/>
    <w:rsid w:val="007C5B6F"/>
    <w:rsid w:val="00A0549C"/>
    <w:rsid w:val="00B302B8"/>
    <w:rsid w:val="00BC3E79"/>
    <w:rsid w:val="00D351AE"/>
    <w:rsid w:val="00E37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5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84B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5D72"/>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252"/>
    <w:pPr>
      <w:tabs>
        <w:tab w:val="center" w:pos="4320"/>
        <w:tab w:val="right" w:pos="8640"/>
      </w:tabs>
    </w:pPr>
  </w:style>
  <w:style w:type="character" w:customStyle="1" w:styleId="FooterChar">
    <w:name w:val="Footer Char"/>
    <w:basedOn w:val="DefaultParagraphFont"/>
    <w:link w:val="Footer"/>
    <w:uiPriority w:val="99"/>
    <w:rsid w:val="00296252"/>
    <w:rPr>
      <w:rFonts w:ascii="Times New Roman" w:eastAsia="Times New Roman" w:hAnsi="Times New Roman" w:cs="Times New Roman"/>
      <w:sz w:val="20"/>
      <w:szCs w:val="20"/>
    </w:rPr>
  </w:style>
  <w:style w:type="character" w:styleId="PageNumber">
    <w:name w:val="page number"/>
    <w:basedOn w:val="DefaultParagraphFont"/>
    <w:rsid w:val="00296252"/>
  </w:style>
  <w:style w:type="paragraph" w:styleId="Header">
    <w:name w:val="header"/>
    <w:basedOn w:val="Normal"/>
    <w:link w:val="HeaderChar"/>
    <w:uiPriority w:val="99"/>
    <w:unhideWhenUsed/>
    <w:rsid w:val="00296252"/>
    <w:pPr>
      <w:tabs>
        <w:tab w:val="center" w:pos="4680"/>
        <w:tab w:val="right" w:pos="9360"/>
      </w:tabs>
    </w:pPr>
  </w:style>
  <w:style w:type="character" w:customStyle="1" w:styleId="HeaderChar">
    <w:name w:val="Header Char"/>
    <w:basedOn w:val="DefaultParagraphFont"/>
    <w:link w:val="Header"/>
    <w:uiPriority w:val="99"/>
    <w:rsid w:val="00296252"/>
    <w:rPr>
      <w:rFonts w:ascii="Times New Roman" w:eastAsia="Times New Roman" w:hAnsi="Times New Roman" w:cs="Times New Roman"/>
      <w:sz w:val="20"/>
      <w:szCs w:val="20"/>
    </w:rPr>
  </w:style>
  <w:style w:type="paragraph" w:styleId="ListParagraph">
    <w:name w:val="List Paragraph"/>
    <w:basedOn w:val="Normal"/>
    <w:uiPriority w:val="34"/>
    <w:qFormat/>
    <w:rsid w:val="00296252"/>
    <w:pPr>
      <w:spacing w:after="200" w:line="276" w:lineRule="auto"/>
      <w:ind w:left="720"/>
      <w:contextualSpacing/>
    </w:pPr>
    <w:rPr>
      <w:rFonts w:ascii="Calibri" w:hAnsi="Calibri"/>
      <w:sz w:val="22"/>
      <w:szCs w:val="22"/>
    </w:rPr>
  </w:style>
  <w:style w:type="table" w:styleId="TableGrid">
    <w:name w:val="Table Grid"/>
    <w:basedOn w:val="TableNormal"/>
    <w:uiPriority w:val="59"/>
    <w:rsid w:val="0029625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04BE0"/>
    <w:rPr>
      <w:color w:val="0000FF"/>
      <w:u w:val="single"/>
    </w:rPr>
  </w:style>
  <w:style w:type="character" w:customStyle="1" w:styleId="apple-style-span">
    <w:name w:val="apple-style-span"/>
    <w:basedOn w:val="DefaultParagraphFont"/>
    <w:rsid w:val="00504BE0"/>
  </w:style>
  <w:style w:type="character" w:customStyle="1" w:styleId="CharacterStyle1">
    <w:name w:val="Character Style 1"/>
    <w:rsid w:val="00B302B8"/>
    <w:rPr>
      <w:rFonts w:ascii="Arial Narrow" w:hAnsi="Arial Narrow" w:cs="Arial Narrow"/>
      <w:sz w:val="18"/>
      <w:szCs w:val="18"/>
    </w:rPr>
  </w:style>
  <w:style w:type="character" w:customStyle="1" w:styleId="CharacterStyle2">
    <w:name w:val="Character Style 2"/>
    <w:rsid w:val="00B302B8"/>
    <w:rPr>
      <w:rFonts w:ascii="Arial Narrow" w:hAnsi="Arial Narrow" w:cs="Arial Narrow"/>
      <w:sz w:val="20"/>
      <w:szCs w:val="20"/>
    </w:rPr>
  </w:style>
  <w:style w:type="character" w:customStyle="1" w:styleId="Heading2Char">
    <w:name w:val="Heading 2 Char"/>
    <w:basedOn w:val="DefaultParagraphFont"/>
    <w:link w:val="Heading2"/>
    <w:rsid w:val="00115D72"/>
    <w:rPr>
      <w:rFonts w:ascii="Times New Roman" w:eastAsia="Times New Roman" w:hAnsi="Times New Roman" w:cs="Times New Roman"/>
      <w:b/>
      <w:sz w:val="24"/>
      <w:szCs w:val="20"/>
    </w:rPr>
  </w:style>
  <w:style w:type="paragraph" w:styleId="BodyText">
    <w:name w:val="Body Text"/>
    <w:basedOn w:val="Normal"/>
    <w:link w:val="BodyTextChar"/>
    <w:rsid w:val="00115D72"/>
    <w:pPr>
      <w:jc w:val="both"/>
    </w:pPr>
    <w:rPr>
      <w:sz w:val="24"/>
    </w:rPr>
  </w:style>
  <w:style w:type="character" w:customStyle="1" w:styleId="BodyTextChar">
    <w:name w:val="Body Text Char"/>
    <w:basedOn w:val="DefaultParagraphFont"/>
    <w:link w:val="BodyText"/>
    <w:rsid w:val="00115D72"/>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115D72"/>
    <w:pPr>
      <w:spacing w:after="120" w:line="480" w:lineRule="auto"/>
      <w:ind w:left="283"/>
    </w:pPr>
  </w:style>
  <w:style w:type="character" w:customStyle="1" w:styleId="BodyTextIndent2Char">
    <w:name w:val="Body Text Indent 2 Char"/>
    <w:basedOn w:val="DefaultParagraphFont"/>
    <w:link w:val="BodyTextIndent2"/>
    <w:uiPriority w:val="99"/>
    <w:semiHidden/>
    <w:rsid w:val="00115D72"/>
    <w:rPr>
      <w:rFonts w:ascii="Times New Roman" w:eastAsia="Times New Roman" w:hAnsi="Times New Roman" w:cs="Times New Roman"/>
      <w:sz w:val="20"/>
      <w:szCs w:val="20"/>
    </w:rPr>
  </w:style>
  <w:style w:type="character" w:styleId="Emphasis">
    <w:name w:val="Emphasis"/>
    <w:basedOn w:val="DefaultParagraphFont"/>
    <w:uiPriority w:val="20"/>
    <w:qFormat/>
    <w:rsid w:val="00115D72"/>
    <w:rPr>
      <w:i/>
      <w:iCs/>
    </w:rPr>
  </w:style>
  <w:style w:type="character" w:customStyle="1" w:styleId="hps">
    <w:name w:val="hps"/>
    <w:basedOn w:val="DefaultParagraphFont"/>
    <w:rsid w:val="00115D72"/>
  </w:style>
  <w:style w:type="character" w:customStyle="1" w:styleId="l6">
    <w:name w:val="l6"/>
    <w:basedOn w:val="DefaultParagraphFont"/>
    <w:rsid w:val="00115D72"/>
  </w:style>
  <w:style w:type="character" w:customStyle="1" w:styleId="l7">
    <w:name w:val="l7"/>
    <w:basedOn w:val="DefaultParagraphFont"/>
    <w:rsid w:val="00115D72"/>
  </w:style>
  <w:style w:type="character" w:customStyle="1" w:styleId="a">
    <w:name w:val="a"/>
    <w:basedOn w:val="DefaultParagraphFont"/>
    <w:rsid w:val="00115D72"/>
  </w:style>
  <w:style w:type="paragraph" w:styleId="BalloonText">
    <w:name w:val="Balloon Text"/>
    <w:basedOn w:val="Normal"/>
    <w:link w:val="BalloonTextChar"/>
    <w:uiPriority w:val="99"/>
    <w:semiHidden/>
    <w:unhideWhenUsed/>
    <w:rsid w:val="00115D72"/>
    <w:rPr>
      <w:rFonts w:ascii="Tahoma" w:hAnsi="Tahoma" w:cs="Tahoma"/>
      <w:sz w:val="16"/>
      <w:szCs w:val="16"/>
    </w:rPr>
  </w:style>
  <w:style w:type="character" w:customStyle="1" w:styleId="BalloonTextChar">
    <w:name w:val="Balloon Text Char"/>
    <w:basedOn w:val="DefaultParagraphFont"/>
    <w:link w:val="BalloonText"/>
    <w:uiPriority w:val="99"/>
    <w:semiHidden/>
    <w:rsid w:val="00115D72"/>
    <w:rPr>
      <w:rFonts w:ascii="Tahoma" w:eastAsia="Times New Roman" w:hAnsi="Tahoma" w:cs="Tahoma"/>
      <w:sz w:val="16"/>
      <w:szCs w:val="16"/>
    </w:rPr>
  </w:style>
  <w:style w:type="character" w:customStyle="1" w:styleId="Heading1Char">
    <w:name w:val="Heading 1 Char"/>
    <w:basedOn w:val="DefaultParagraphFont"/>
    <w:link w:val="Heading1"/>
    <w:uiPriority w:val="9"/>
    <w:rsid w:val="00584B2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584B2E"/>
    <w:rPr>
      <w:b/>
      <w:bCs/>
    </w:rPr>
  </w:style>
  <w:style w:type="paragraph" w:styleId="Title">
    <w:name w:val="Title"/>
    <w:basedOn w:val="Normal"/>
    <w:link w:val="TitleChar"/>
    <w:qFormat/>
    <w:rsid w:val="007C5B6F"/>
    <w:pPr>
      <w:jc w:val="center"/>
    </w:pPr>
    <w:rPr>
      <w:rFonts w:ascii="Arial" w:hAnsi="Arial"/>
      <w:b/>
      <w:sz w:val="24"/>
    </w:rPr>
  </w:style>
  <w:style w:type="character" w:customStyle="1" w:styleId="TitleChar">
    <w:name w:val="Title Char"/>
    <w:basedOn w:val="DefaultParagraphFont"/>
    <w:link w:val="Title"/>
    <w:rsid w:val="007C5B6F"/>
    <w:rPr>
      <w:rFonts w:ascii="Arial" w:eastAsia="Times New Roman" w:hAnsi="Arial"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2037</Words>
  <Characters>11612</Characters>
  <Application>Microsoft Office Word</Application>
  <DocSecurity>0</DocSecurity>
  <Lines>96</Lines>
  <Paragraphs>27</Paragraphs>
  <ScaleCrop>false</ScaleCrop>
  <Company/>
  <LinksUpToDate>false</LinksUpToDate>
  <CharactersWithSpaces>13622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cp:revision>
  <dcterms:created xsi:type="dcterms:W3CDTF">2016-04-11T01:10:00Z</dcterms:created>
  <dcterms:modified xsi:type="dcterms:W3CDTF">2016-04-12T00:29:00Z</dcterms:modified>
</cp:coreProperties>
</file>